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2018年度中宁县公安局部门预算公开</w:t>
      </w:r>
    </w:p>
    <w:p>
      <w:pPr>
        <w:spacing w:line="60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目     录</w:t>
      </w:r>
    </w:p>
    <w:p>
      <w:pPr>
        <w:spacing w:line="600" w:lineRule="exact"/>
        <w:jc w:val="center"/>
        <w:outlineLvl w:val="1"/>
        <w:rPr>
          <w:rFonts w:ascii="方正小标宋简体" w:hAnsi="宋体" w:eastAsia="方正小标宋简体" w:cs="Times New Roman"/>
          <w:kern w:val="0"/>
          <w:sz w:val="44"/>
          <w:szCs w:val="44"/>
        </w:rPr>
      </w:pPr>
    </w:p>
    <w:p>
      <w:pPr>
        <w:spacing w:line="58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第一部分  单位概况</w:t>
      </w:r>
    </w:p>
    <w:p>
      <w:pPr>
        <w:spacing w:line="5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一、部门职责和机构设置</w:t>
      </w:r>
    </w:p>
    <w:p>
      <w:pPr>
        <w:spacing w:line="58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第二部分  2018年度部门预算数据说明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一、本级预算及所属单位在内的汇总预算</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二、预算收支增减变化情况说明。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三、政府采购安排情况说明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三、机关运行费及“三公”经费公开情况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四、其他情况说明</w:t>
      </w:r>
    </w:p>
    <w:p>
      <w:pPr>
        <w:spacing w:line="58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第三部分 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八、一般公共预算财政拨款部门经济分类支出</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line="58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第四部分  名词解释</w:t>
      </w:r>
    </w:p>
    <w:p>
      <w:pPr>
        <w:spacing w:afterLines="50" w:line="580" w:lineRule="exact"/>
        <w:outlineLvl w:val="1"/>
        <w:rPr>
          <w:rFonts w:ascii="仿宋_GB2312" w:hAnsi="仿宋" w:eastAsia="仿宋_GB2312"/>
          <w:sz w:val="32"/>
          <w:szCs w:val="32"/>
        </w:rPr>
      </w:pPr>
      <w:r>
        <w:t>　</w:t>
      </w:r>
      <w:r>
        <w:rPr>
          <w:rFonts w:hint="eastAsia"/>
        </w:rPr>
        <w:t xml:space="preserve">   </w:t>
      </w: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hint="eastAsia" w:ascii="黑体" w:hAnsi="黑体" w:eastAsia="黑体" w:cs="黑体"/>
          <w:b w:val="0"/>
          <w:bCs/>
          <w:kern w:val="0"/>
          <w:sz w:val="32"/>
          <w:szCs w:val="32"/>
        </w:rPr>
      </w:pPr>
      <w:bookmarkStart w:id="0" w:name="_GoBack"/>
      <w:r>
        <w:rPr>
          <w:rFonts w:hint="eastAsia" w:ascii="黑体" w:hAnsi="黑体" w:eastAsia="黑体" w:cs="黑体"/>
          <w:b w:val="0"/>
          <w:bCs/>
          <w:kern w:val="0"/>
          <w:sz w:val="32"/>
          <w:szCs w:val="32"/>
        </w:rPr>
        <w:t>第一部分  单位概况</w:t>
      </w:r>
    </w:p>
    <w:bookmarkEnd w:id="0"/>
    <w:p>
      <w:pPr>
        <w:spacing w:line="580" w:lineRule="exact"/>
        <w:outlineLvl w:val="1"/>
        <w:rPr>
          <w:rFonts w:ascii="黑体" w:hAnsi="黑体" w:eastAsia="黑体"/>
          <w:kern w:val="0"/>
          <w:sz w:val="32"/>
          <w:szCs w:val="32"/>
        </w:rPr>
      </w:pPr>
      <w:r>
        <w:rPr>
          <w:rFonts w:hint="eastAsia" w:ascii="仿宋_GB2312" w:hAnsi="宋体" w:eastAsia="仿宋_GB2312"/>
          <w:kern w:val="0"/>
          <w:sz w:val="32"/>
          <w:szCs w:val="32"/>
        </w:rPr>
        <w:t xml:space="preserve">    </w:t>
      </w:r>
      <w:r>
        <w:rPr>
          <w:rFonts w:hint="eastAsia" w:ascii="黑体" w:hAnsi="黑体" w:eastAsia="黑体"/>
          <w:kern w:val="0"/>
          <w:sz w:val="32"/>
          <w:szCs w:val="32"/>
        </w:rPr>
        <w:t>一、部门职责和机构设置</w:t>
      </w:r>
    </w:p>
    <w:p>
      <w:pPr>
        <w:widowControl/>
        <w:wordWrap w:val="0"/>
        <w:spacing w:line="580" w:lineRule="exact"/>
        <w:ind w:firstLine="480" w:firstLineChars="150"/>
        <w:jc w:val="left"/>
        <w:rPr>
          <w:rFonts w:ascii="黑体" w:hAnsi="黑体" w:eastAsia="黑体"/>
          <w:kern w:val="0"/>
          <w:sz w:val="32"/>
          <w:szCs w:val="32"/>
        </w:rPr>
      </w:pPr>
      <w:r>
        <w:rPr>
          <w:rFonts w:hint="eastAsia" w:ascii="黑体" w:hAnsi="黑体" w:eastAsia="黑体"/>
          <w:kern w:val="0"/>
          <w:sz w:val="32"/>
          <w:szCs w:val="32"/>
        </w:rPr>
        <w:t>（一）部门职责</w:t>
      </w:r>
    </w:p>
    <w:p>
      <w:pPr>
        <w:widowControl/>
        <w:wordWrap w:val="0"/>
        <w:spacing w:line="580" w:lineRule="exact"/>
        <w:ind w:firstLine="360" w:firstLineChars="100"/>
        <w:jc w:val="left"/>
        <w:rPr>
          <w:rFonts w:ascii="仿宋_GB2312" w:eastAsia="仿宋_GB2312"/>
          <w:sz w:val="32"/>
          <w:szCs w:val="32"/>
        </w:rPr>
      </w:pPr>
      <w:r>
        <w:rPr>
          <w:rFonts w:ascii="仿宋_GB2312" w:hAnsi="宋体" w:eastAsia="仿宋_GB2312"/>
          <w:kern w:val="0"/>
          <w:sz w:val="36"/>
          <w:szCs w:val="36"/>
        </w:rPr>
        <w:t> </w:t>
      </w:r>
      <w:r>
        <w:rPr>
          <w:rFonts w:hint="eastAsia" w:ascii="仿宋_GB2312" w:eastAsia="仿宋_GB2312"/>
          <w:sz w:val="32"/>
          <w:szCs w:val="32"/>
        </w:rPr>
        <w:t>主要职能：打击犯罪，维护社会治安稳定。</w:t>
      </w:r>
    </w:p>
    <w:p>
      <w:pPr>
        <w:widowControl/>
        <w:wordWrap w:val="0"/>
        <w:spacing w:line="580" w:lineRule="exact"/>
        <w:ind w:firstLine="320" w:firstLineChars="100"/>
        <w:jc w:val="left"/>
        <w:rPr>
          <w:rFonts w:ascii="黑体" w:hAnsi="黑体" w:eastAsia="黑体"/>
          <w:kern w:val="0"/>
          <w:sz w:val="32"/>
          <w:szCs w:val="36"/>
        </w:rPr>
      </w:pPr>
      <w:r>
        <w:rPr>
          <w:rFonts w:hint="eastAsia" w:ascii="黑体" w:hAnsi="黑体" w:eastAsia="黑体"/>
          <w:kern w:val="0"/>
          <w:sz w:val="32"/>
          <w:szCs w:val="36"/>
        </w:rPr>
        <w:t>（二）机构情况</w:t>
      </w:r>
    </w:p>
    <w:p>
      <w:pPr>
        <w:widowControl/>
        <w:wordWrap w:val="0"/>
        <w:spacing w:line="580" w:lineRule="exact"/>
        <w:ind w:firstLine="640" w:firstLineChars="200"/>
        <w:jc w:val="left"/>
        <w:rPr>
          <w:rFonts w:hint="eastAsia" w:ascii="仿宋_GB2312" w:hAnsi="宋体" w:eastAsia="仿宋_GB2312"/>
          <w:kern w:val="0"/>
          <w:sz w:val="32"/>
          <w:szCs w:val="32"/>
        </w:rPr>
      </w:pPr>
      <w:r>
        <w:rPr>
          <w:rFonts w:ascii="仿宋_GB2312" w:hAnsi="宋体" w:eastAsia="仿宋_GB2312"/>
          <w:kern w:val="0"/>
          <w:sz w:val="32"/>
          <w:szCs w:val="32"/>
        </w:rPr>
        <w:t>中宁县</w:t>
      </w:r>
      <w:r>
        <w:rPr>
          <w:rFonts w:hint="eastAsia" w:ascii="仿宋_GB2312" w:hAnsi="宋体" w:eastAsia="仿宋_GB2312"/>
          <w:kern w:val="0"/>
          <w:sz w:val="32"/>
          <w:szCs w:val="32"/>
        </w:rPr>
        <w:t>公安</w:t>
      </w:r>
      <w:r>
        <w:rPr>
          <w:rFonts w:ascii="仿宋_GB2312" w:hAnsi="宋体" w:eastAsia="仿宋_GB2312"/>
          <w:kern w:val="0"/>
          <w:sz w:val="32"/>
          <w:szCs w:val="32"/>
        </w:rPr>
        <w:t>局独立编制机构数为1个，独立核算机构数为1个。</w:t>
      </w:r>
    </w:p>
    <w:p>
      <w:pPr>
        <w:ind w:firstLine="640" w:firstLineChars="200"/>
        <w:rPr>
          <w:rFonts w:ascii="仿宋_GB2312" w:eastAsia="仿宋_GB2312"/>
          <w:sz w:val="32"/>
          <w:szCs w:val="32"/>
        </w:rPr>
      </w:pPr>
      <w:r>
        <w:rPr>
          <w:rFonts w:hint="eastAsia" w:ascii="仿宋_GB2312" w:eastAsia="仿宋_GB2312"/>
          <w:sz w:val="32"/>
          <w:szCs w:val="32"/>
        </w:rPr>
        <w:t>行政政法编制数为250人，事业编制42人，工勤编制9人，其他财政供养人员1人。实有行政人员266人（政法编制241人、工勤人员21人、其他财政供养人员1人），离休人员1人，协警人367人 。</w:t>
      </w:r>
    </w:p>
    <w:p>
      <w:pPr>
        <w:spacing w:line="580" w:lineRule="exact"/>
        <w:rPr>
          <w:rFonts w:ascii="黑体" w:hAnsi="黑体" w:eastAsia="黑体"/>
          <w:kern w:val="0"/>
          <w:sz w:val="32"/>
          <w:szCs w:val="32"/>
        </w:rPr>
      </w:pPr>
      <w:r>
        <w:rPr>
          <w:rFonts w:hint="eastAsia" w:ascii="黑体" w:hAnsi="黑体" w:eastAsia="黑体"/>
          <w:kern w:val="0"/>
          <w:sz w:val="32"/>
          <w:szCs w:val="32"/>
        </w:rPr>
        <w:t>第二部分  2018年度部门预算数据说明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一、本级预算及所属单位预算在内的汇总预算</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中宁县公安局本级</w:t>
      </w:r>
      <w:r>
        <w:rPr>
          <w:rFonts w:ascii="仿宋_GB2312" w:hAnsi="宋体" w:eastAsia="仿宋_GB2312"/>
          <w:kern w:val="0"/>
          <w:sz w:val="32"/>
          <w:szCs w:val="32"/>
        </w:rPr>
        <w:t>201</w:t>
      </w:r>
      <w:r>
        <w:rPr>
          <w:rFonts w:hint="eastAsia" w:ascii="仿宋_GB2312" w:hAnsi="宋体" w:eastAsia="仿宋_GB2312"/>
          <w:kern w:val="0"/>
          <w:sz w:val="32"/>
          <w:szCs w:val="32"/>
        </w:rPr>
        <w:t>8年财政拨款收支总预算8434.55万元。与上年相比增加1961.55万元，主要是项目支出增加787万元（原因：协警人员增加、协警人员工资增加、增加警察执勤岗位津贴），基本支出增加1174.55万元（原因：事业编制人员增加，人员经费增加）。收入预算包括：一般公共预算拨款8434.55万元。支出预算包括：按政府收支分类功能科目逐项说明。基本支出5899.55万元，其中工资性福利支出4415.72万元，对个人家庭补助支出63.51万元，商品和服务支出1418.32万元。项目支出2537万元，其中道路交通管理支出270万元，禁毒管理支出200万元，拘押收教场所管理支出20万元，治安管理支出1715万元，消防支出28万元，行政运行支出304万元。</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二、预算收支增减变化情况</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（一）基本支出情况说明。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中宁县公安局2018年一般公共预算拨款基本支出5897.55万元，其中：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人员经费4479.23万元，主要包括：基本工资、津贴补贴、奖金、社会保障缴费、绩效工资、其他工资福利支出、离休费、退休费、生活补助、医疗费、住房公积金、购房补贴、其他对个人和家庭的补助支出等；</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1418.32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60" w:lineRule="exact"/>
        <w:ind w:firstLine="48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中宁县公安局2018年一般公共预算拨款项目支出2537万元，其中：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按政府收支科目类、款、项，用途分项说明。如：</w:t>
      </w:r>
      <w:r>
        <w:rPr>
          <w:rFonts w:hint="eastAsia" w:ascii="仿宋_GB2312" w:eastAsia="仿宋_GB2312" w:cs="仿宋_GB2312"/>
          <w:kern w:val="0"/>
          <w:sz w:val="32"/>
          <w:szCs w:val="32"/>
        </w:rPr>
        <w:t>2040212（道路交通管理）交通安全及城市监控设施维护费、电费80</w:t>
      </w:r>
      <w:r>
        <w:rPr>
          <w:rFonts w:hint="eastAsia" w:ascii="仿宋_GB2312" w:hAnsi="宋体" w:eastAsia="仿宋_GB2312" w:cs="宋体"/>
          <w:kern w:val="0"/>
          <w:sz w:val="32"/>
          <w:szCs w:val="32"/>
        </w:rPr>
        <w:t>万元，同比2017年度持平；</w:t>
      </w:r>
      <w:r>
        <w:rPr>
          <w:rFonts w:hint="eastAsia" w:ascii="仿宋_GB2312" w:eastAsia="仿宋_GB2312" w:cs="仿宋_GB2312"/>
          <w:kern w:val="0"/>
          <w:sz w:val="32"/>
          <w:szCs w:val="32"/>
        </w:rPr>
        <w:t>2040212（道路交通管理）交通事故停放涉案车辆场地租用费及拖车费10万元，</w:t>
      </w:r>
      <w:r>
        <w:rPr>
          <w:rFonts w:hint="eastAsia" w:ascii="仿宋_GB2312" w:hAnsi="宋体" w:eastAsia="仿宋_GB2312" w:cs="宋体"/>
          <w:kern w:val="0"/>
          <w:sz w:val="32"/>
          <w:szCs w:val="32"/>
        </w:rPr>
        <w:t>同比2017年度持平；</w:t>
      </w:r>
      <w:r>
        <w:rPr>
          <w:rFonts w:hint="eastAsia" w:ascii="仿宋_GB2312" w:eastAsia="仿宋_GB2312" w:cs="仿宋_GB2312"/>
          <w:kern w:val="0"/>
          <w:sz w:val="32"/>
          <w:szCs w:val="32"/>
        </w:rPr>
        <w:t>2040212（道路交通管理）治安监控智能交通通讯传输电路租费180万元，</w:t>
      </w:r>
      <w:r>
        <w:rPr>
          <w:rFonts w:hint="eastAsia" w:ascii="仿宋_GB2312" w:hAnsi="宋体" w:eastAsia="仿宋_GB2312" w:cs="宋体"/>
          <w:kern w:val="0"/>
          <w:sz w:val="32"/>
          <w:szCs w:val="32"/>
        </w:rPr>
        <w:t>同比2017年度持平；2040211 (禁毒管理）禁毒专项经费200万元，同比2017年度持平；2040217（拘押收教场所管理）拘留人员给养费20万元，同比2017年度持平；2040204（治安管理）民警加班补助223万元，同比2017年度增加39万元，增长21.19%；2040204（治安管理）派出所民警加班补贴及差旅伙食费70万元，同比2017年度减少23万元，下降24.73%；2040204（治安管理）派出所乡镇工作补贴44万元，同比去年增加3万元，增长7.31%；2040204（治安管理）协警人员工资及五险一金1378万元，同比去年增加441万元，增长47.06%；2040103（消防）乡镇消防队运行经费28万元，同比2017年度持平；2040201（行政运行）人民警察执勤岗位津贴304万元。</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二、政府采购安排情况说明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本年度中宁县公安局，无政府采购项目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三、机关运行费及“三公”经费公开情况</w:t>
      </w:r>
    </w:p>
    <w:p>
      <w:pPr>
        <w:widowControl/>
        <w:wordWrap w:val="0"/>
        <w:spacing w:line="580" w:lineRule="exact"/>
        <w:ind w:firstLine="800" w:firstLineChars="250"/>
        <w:jc w:val="left"/>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年机关运行经费预算合计1418.32万元，公用经费按照每人每年2.5万元的标准。与上年相比增加804.22万元，原因是：我单位增加事业编制人员42人，导致公用经费增加。三公经费合计108.72万元，其中因公出国（境）预算0万元。我单位不存在因公出国（境）的情况，没有此项预算，与上年相同。公务用车运行维护费107.56万元，与上年相比减少15.77万元，原因是公车改革，缩减了公务用车运行维护费。公务接待费1.16万元，与上年相比减少1.26万元，原因是厉行节约压缩公务接待费用。</w:t>
      </w:r>
    </w:p>
    <w:p>
      <w:pPr>
        <w:widowControl/>
        <w:wordWrap w:val="0"/>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四、其他情况说明</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1.国有资产占用使用情况</w:t>
      </w:r>
    </w:p>
    <w:p>
      <w:pPr>
        <w:widowControl/>
        <w:wordWrap w:val="0"/>
        <w:spacing w:line="58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截至</w:t>
      </w:r>
      <w:r>
        <w:rPr>
          <w:rFonts w:ascii="仿宋_GB2312" w:hAnsi="宋体" w:eastAsia="仿宋_GB2312"/>
          <w:kern w:val="0"/>
          <w:sz w:val="32"/>
          <w:szCs w:val="32"/>
        </w:rPr>
        <w:t>201</w:t>
      </w:r>
      <w:r>
        <w:rPr>
          <w:rFonts w:hint="eastAsia" w:ascii="仿宋_GB2312" w:hAnsi="宋体" w:eastAsia="仿宋_GB2312"/>
          <w:kern w:val="0"/>
          <w:sz w:val="32"/>
          <w:szCs w:val="32"/>
        </w:rPr>
        <w:t>7年</w:t>
      </w:r>
      <w:r>
        <w:rPr>
          <w:rFonts w:ascii="仿宋_GB2312" w:hAnsi="宋体" w:eastAsia="仿宋_GB2312"/>
          <w:kern w:val="0"/>
          <w:sz w:val="32"/>
          <w:szCs w:val="32"/>
        </w:rPr>
        <w:t>12</w:t>
      </w:r>
      <w:r>
        <w:rPr>
          <w:rFonts w:hint="eastAsia" w:ascii="仿宋_GB2312" w:hAnsi="宋体" w:eastAsia="仿宋_GB2312"/>
          <w:kern w:val="0"/>
          <w:sz w:val="32"/>
          <w:szCs w:val="32"/>
        </w:rPr>
        <w:t>月</w:t>
      </w:r>
      <w:r>
        <w:rPr>
          <w:rFonts w:ascii="仿宋_GB2312" w:hAnsi="宋体" w:eastAsia="仿宋_GB2312"/>
          <w:kern w:val="0"/>
          <w:sz w:val="32"/>
          <w:szCs w:val="32"/>
        </w:rPr>
        <w:t>31</w:t>
      </w:r>
      <w:r>
        <w:rPr>
          <w:rFonts w:hint="eastAsia" w:ascii="仿宋_GB2312" w:hAnsi="宋体" w:eastAsia="仿宋_GB2312"/>
          <w:kern w:val="0"/>
          <w:sz w:val="32"/>
          <w:szCs w:val="32"/>
        </w:rPr>
        <w:t>日，公安局占用使用国有资产总体情况为房屋24068.61平方米，价值3107.12万元；车辆113辆，价值1357.53万元；办公家具、办公设备等其他资产价值3772.52万元.</w:t>
      </w:r>
      <w:r>
        <w:rPr>
          <w:rFonts w:ascii="仿宋_GB2312" w:hAnsi="宋体" w:eastAsia="仿宋_GB2312"/>
          <w:kern w:val="0"/>
          <w:sz w:val="32"/>
          <w:szCs w:val="32"/>
        </w:rPr>
        <w:t xml:space="preserve"> </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2、其他需说明的事项:无</w:t>
      </w: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第三部分</w:t>
      </w:r>
      <w:r>
        <w:rPr>
          <w:rFonts w:hint="eastAsia" w:ascii="黑体" w:hAnsi="宋体" w:eastAsia="黑体"/>
          <w:kern w:val="0"/>
          <w:sz w:val="32"/>
          <w:szCs w:val="32"/>
        </w:rPr>
        <w:t> </w:t>
      </w:r>
      <w:r>
        <w:rPr>
          <w:rFonts w:hint="eastAsia" w:ascii="黑体" w:hAnsi="黑体" w:eastAsia="黑体"/>
          <w:kern w:val="0"/>
          <w:sz w:val="32"/>
          <w:szCs w:val="32"/>
        </w:rPr>
        <w:t>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ind w:firstLine="630"/>
        <w:rPr>
          <w:rFonts w:hint="eastAsia" w:ascii="仿宋_GB2312" w:hAnsi="仿宋" w:eastAsia="仿宋_GB2312"/>
          <w:sz w:val="32"/>
          <w:szCs w:val="32"/>
        </w:rPr>
      </w:pPr>
      <w:r>
        <w:rPr>
          <w:rFonts w:hint="eastAsia" w:ascii="仿宋_GB2312" w:hAnsi="仿宋" w:eastAsia="仿宋_GB2312"/>
          <w:sz w:val="32"/>
          <w:szCs w:val="32"/>
        </w:rPr>
        <w:t>八、一般公共预</w:t>
      </w:r>
    </w:p>
    <w:p>
      <w:pPr>
        <w:spacing w:line="58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afterLines="50" w:line="580" w:lineRule="exact"/>
        <w:outlineLvl w:val="1"/>
        <w:rPr>
          <w:rFonts w:ascii="黑体" w:hAnsi="黑体" w:eastAsia="黑体"/>
          <w:kern w:val="0"/>
          <w:sz w:val="32"/>
          <w:szCs w:val="32"/>
        </w:rPr>
      </w:pPr>
      <w:r>
        <w:rPr>
          <w:rFonts w:hint="eastAsia" w:ascii="黑体" w:hAnsi="黑体" w:eastAsia="黑体"/>
          <w:kern w:val="0"/>
          <w:sz w:val="32"/>
          <w:szCs w:val="32"/>
        </w:rPr>
        <w:t>第四部分  名词解释</w:t>
      </w:r>
    </w:p>
    <w:p>
      <w:pPr>
        <w:spacing w:afterLines="50" w:line="580" w:lineRule="exact"/>
        <w:outlineLvl w:val="1"/>
        <w:rPr>
          <w:rFonts w:ascii="仿宋_GB2312" w:hAnsi="宋体" w:eastAsia="仿宋_GB2312"/>
          <w:kern w:val="0"/>
          <w:sz w:val="32"/>
          <w:szCs w:val="32"/>
        </w:rPr>
      </w:pPr>
      <w:r>
        <w:t>　　　</w:t>
      </w:r>
      <w:r>
        <w:rPr>
          <w:rFonts w:ascii="仿宋_GB2312" w:hAnsi="仿宋" w:eastAsia="仿宋_GB2312"/>
          <w:sz w:val="32"/>
          <w:szCs w:val="32"/>
        </w:rPr>
        <w:t>一、支出功能分类科目编码、名称：按照《2016年政府收支分类科目》“类”、“款”、“项”的编码和名称填列</w:t>
      </w:r>
      <w:r>
        <w:rPr>
          <w:rFonts w:hint="eastAsia" w:ascii="仿宋_GB2312" w:hAnsi="仿宋" w:eastAsia="仿宋_GB2312"/>
          <w:sz w:val="32"/>
          <w:szCs w:val="32"/>
        </w:rPr>
        <w:t>。</w:t>
      </w:r>
    </w:p>
    <w:p>
      <w:pPr>
        <w:spacing w:line="580" w:lineRule="exact"/>
        <w:rPr>
          <w:rFonts w:ascii="仿宋_GB2312" w:hAnsi="仿宋" w:eastAsia="仿宋_GB2312"/>
          <w:sz w:val="32"/>
          <w:szCs w:val="32"/>
        </w:rPr>
      </w:pPr>
      <w:r>
        <w:rPr>
          <w:rFonts w:ascii="仿宋_GB2312" w:hAnsi="仿宋" w:eastAsia="仿宋_GB2312"/>
          <w:sz w:val="32"/>
          <w:szCs w:val="32"/>
        </w:rPr>
        <w:t>　　二、年初结转和结余：是指单位上年结转本年使用的基本支出结转、项目支出结转和结余和经营结余。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三、基本支出结转：是指单位基本支出收支相抵后结转本年使用的累计余额，包括事业单位未转入事业基金的基本支出结转。</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四、项目支出结转和结余：是指单位从财政部门或上级单位等取得，需要结转本年继续使用的项目支出收支累计余额。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w:t>
      </w:r>
      <w:r>
        <w:rPr>
          <w:rFonts w:hint="eastAsia" w:ascii="仿宋_GB2312" w:hAnsi="仿宋" w:eastAsia="仿宋_GB2312"/>
          <w:sz w:val="32"/>
          <w:szCs w:val="32"/>
        </w:rPr>
        <w:t xml:space="preserve"> </w:t>
      </w:r>
      <w:r>
        <w:rPr>
          <w:rFonts w:ascii="仿宋_GB2312" w:hAnsi="仿宋" w:eastAsia="仿宋_GB2312"/>
          <w:sz w:val="32"/>
          <w:szCs w:val="32"/>
        </w:rPr>
        <w:t>五、基本建设资金结转和结余：是指单位基本建设类资金中非偿还性资金结转本年使用的累计余额。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六、本年收入：是指单位本年度取得的全部收入。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七、本年支出：是指单位本年度全部支出。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八、结余分配：是指单位当年结余的分配情况。</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九、年末结转和结余：是指单位结转下年的基本支出结转、项目支出结转和结余和经营结余。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十、财政拨款收入：是指单位本年度从本级财政部门取得的财政拨款，包括一般公共预算财政拨款和政府性基金预算财政拨款。</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十一、事业收入：是指事业单位开展专业业务活动及其辅助活动取得的收入。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十二、经营收入：是指事业单位在专业业务活动及其辅助活动之外开展非独立核算经营活动取得的收入。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十三、其他收入：是指单位取得的除“财政拨款收入”、“事业收入”、“经营收入”等以外的各项收入。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十四、基本支出：是指单位为保障机构正常运转、完成日常工作任务而发生的各项支出。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十五、项目支出：是指单位为完成特定的行政工作任务或事业发展目标，在基本支出之外发生的各项支出。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十六、经营支出：是指事业单位在专业活动及辅助活动之外开展非独立核算经营活动发生的支出。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十七、人员经费：是指单位基本支出中用一般公共预算财政拨款安排的“工资福利支出”和“对个人和家庭的补助”。</w:t>
      </w:r>
      <w:r>
        <w:rPr>
          <w:rFonts w:hint="eastAsia" w:ascii="宋体" w:hAnsi="宋体" w:eastAsia="宋体" w:cs="宋体"/>
          <w:sz w:val="32"/>
          <w:szCs w:val="32"/>
        </w:rPr>
        <w:t>  </w:t>
      </w:r>
    </w:p>
    <w:p>
      <w:pPr>
        <w:pStyle w:val="4"/>
      </w:pPr>
    </w:p>
    <w:p>
      <w:pPr>
        <w:rPr>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68A2"/>
    <w:rsid w:val="00001E1B"/>
    <w:rsid w:val="000450AA"/>
    <w:rsid w:val="000932A8"/>
    <w:rsid w:val="000A4E6F"/>
    <w:rsid w:val="000C61F6"/>
    <w:rsid w:val="001123E1"/>
    <w:rsid w:val="00151806"/>
    <w:rsid w:val="00151D96"/>
    <w:rsid w:val="001E6410"/>
    <w:rsid w:val="002C6118"/>
    <w:rsid w:val="002C7156"/>
    <w:rsid w:val="00327365"/>
    <w:rsid w:val="00347B64"/>
    <w:rsid w:val="00452B1F"/>
    <w:rsid w:val="00482D95"/>
    <w:rsid w:val="00496A02"/>
    <w:rsid w:val="00502CE7"/>
    <w:rsid w:val="00553397"/>
    <w:rsid w:val="00565543"/>
    <w:rsid w:val="00590220"/>
    <w:rsid w:val="005F1AC9"/>
    <w:rsid w:val="006D1734"/>
    <w:rsid w:val="006E0A4A"/>
    <w:rsid w:val="006E2E20"/>
    <w:rsid w:val="007273D3"/>
    <w:rsid w:val="007540F1"/>
    <w:rsid w:val="00831BE3"/>
    <w:rsid w:val="008A1518"/>
    <w:rsid w:val="008A3FFD"/>
    <w:rsid w:val="008B52E0"/>
    <w:rsid w:val="00927807"/>
    <w:rsid w:val="00961AFD"/>
    <w:rsid w:val="00A12F91"/>
    <w:rsid w:val="00A24F25"/>
    <w:rsid w:val="00A627FA"/>
    <w:rsid w:val="00A93C8D"/>
    <w:rsid w:val="00AE107B"/>
    <w:rsid w:val="00B730AD"/>
    <w:rsid w:val="00BB0ACD"/>
    <w:rsid w:val="00BE5E12"/>
    <w:rsid w:val="00C87A3C"/>
    <w:rsid w:val="00CB6E28"/>
    <w:rsid w:val="00CF5187"/>
    <w:rsid w:val="00CF68A2"/>
    <w:rsid w:val="00D057C6"/>
    <w:rsid w:val="00D177CE"/>
    <w:rsid w:val="00D641B0"/>
    <w:rsid w:val="00D87C49"/>
    <w:rsid w:val="00DB169F"/>
    <w:rsid w:val="00DC516F"/>
    <w:rsid w:val="00DC71E5"/>
    <w:rsid w:val="00DE640E"/>
    <w:rsid w:val="00DF33A2"/>
    <w:rsid w:val="00E44994"/>
    <w:rsid w:val="00E92E22"/>
    <w:rsid w:val="00EA065A"/>
    <w:rsid w:val="00EB25D8"/>
    <w:rsid w:val="00F1333D"/>
    <w:rsid w:val="00F76D04"/>
    <w:rsid w:val="00F77FA2"/>
    <w:rsid w:val="00FB0793"/>
    <w:rsid w:val="00FB0BF0"/>
    <w:rsid w:val="19C42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506</Words>
  <Characters>2889</Characters>
  <Lines>24</Lines>
  <Paragraphs>6</Paragraphs>
  <TotalTime>154</TotalTime>
  <ScaleCrop>false</ScaleCrop>
  <LinksUpToDate>false</LinksUpToDate>
  <CharactersWithSpaces>3389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2017-11-01T12:41:00Z</dcterms:created>
  <dc:creator>吴丽萍</dc:creator>
  <cp:lastModifiedBy>Administrator</cp:lastModifiedBy>
  <dcterms:modified xsi:type="dcterms:W3CDTF">2018-08-17T08:54:14Z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