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sz w:val="36"/>
          <w:szCs w:val="36"/>
        </w:rPr>
      </w:pPr>
      <w:bookmarkStart w:id="0" w:name="_GoBack"/>
      <w:r>
        <w:rPr>
          <w:rFonts w:hint="eastAsia" w:ascii="微软雅黑" w:hAnsi="微软雅黑" w:eastAsia="微软雅黑" w:cs="微软雅黑"/>
          <w:b/>
          <w:bCs/>
          <w:sz w:val="36"/>
          <w:szCs w:val="36"/>
        </w:rPr>
        <w:t>中宁县工业（物流）园区管理委员会办公室2018年部门预算公开</w:t>
      </w:r>
      <w:bookmarkEnd w:id="0"/>
    </w:p>
    <w:p>
      <w:pPr>
        <w:widowControl/>
        <w:wordWrap w:val="0"/>
        <w:spacing w:line="580" w:lineRule="exact"/>
        <w:ind w:firstLine="3240" w:firstLineChars="900"/>
        <w:jc w:val="left"/>
        <w:rPr>
          <w:rFonts w:ascii="仿宋_GB2312" w:hAnsi="宋体" w:eastAsia="仿宋_GB2312"/>
          <w:kern w:val="0"/>
          <w:sz w:val="36"/>
          <w:szCs w:val="36"/>
        </w:rPr>
      </w:pPr>
    </w:p>
    <w:p>
      <w:pPr>
        <w:widowControl/>
        <w:wordWrap w:val="0"/>
        <w:spacing w:line="580" w:lineRule="exact"/>
        <w:ind w:firstLine="3240" w:firstLineChars="900"/>
        <w:jc w:val="left"/>
        <w:rPr>
          <w:rFonts w:ascii="仿宋_GB2312" w:hAnsi="宋体" w:eastAsia="仿宋_GB2312"/>
          <w:kern w:val="0"/>
          <w:sz w:val="36"/>
          <w:szCs w:val="36"/>
        </w:rPr>
      </w:pPr>
      <w:r>
        <w:rPr>
          <w:rFonts w:hint="eastAsia" w:ascii="仿宋_GB2312" w:hAnsi="宋体" w:eastAsia="仿宋_GB2312"/>
          <w:kern w:val="0"/>
          <w:sz w:val="36"/>
          <w:szCs w:val="36"/>
        </w:rPr>
        <w:t>目</w:t>
      </w:r>
      <w:r>
        <w:rPr>
          <w:rFonts w:ascii="仿宋_GB2312" w:hAnsi="宋体" w:eastAsia="仿宋_GB2312"/>
          <w:kern w:val="0"/>
          <w:sz w:val="36"/>
          <w:szCs w:val="36"/>
        </w:rPr>
        <w:t xml:space="preserve">    </w:t>
      </w:r>
      <w:r>
        <w:rPr>
          <w:rFonts w:hint="eastAsia" w:ascii="仿宋_GB2312" w:hAnsi="宋体" w:eastAsia="仿宋_GB2312"/>
          <w:kern w:val="0"/>
          <w:sz w:val="36"/>
          <w:szCs w:val="36"/>
        </w:rPr>
        <w:t>录</w:t>
      </w:r>
    </w:p>
    <w:p>
      <w:pPr>
        <w:spacing w:line="580" w:lineRule="exact"/>
        <w:outlineLvl w:val="1"/>
        <w:rPr>
          <w:rFonts w:ascii="仿宋_GB2312" w:hAnsi="宋体" w:eastAsia="仿宋_GB2312"/>
          <w:b/>
          <w:bCs/>
          <w:kern w:val="0"/>
          <w:sz w:val="32"/>
          <w:szCs w:val="32"/>
        </w:rPr>
      </w:pPr>
      <w:r>
        <w:rPr>
          <w:rFonts w:hint="eastAsia" w:ascii="仿宋_GB2312" w:hAnsi="宋体" w:eastAsia="仿宋_GB2312"/>
          <w:b/>
          <w:bCs/>
          <w:kern w:val="0"/>
          <w:sz w:val="32"/>
          <w:szCs w:val="32"/>
        </w:rPr>
        <w:t>第一部分</w:t>
      </w:r>
      <w:r>
        <w:rPr>
          <w:rFonts w:ascii="仿宋_GB2312" w:hAnsi="宋体" w:eastAsia="仿宋_GB2312"/>
          <w:b/>
          <w:bCs/>
          <w:kern w:val="0"/>
          <w:sz w:val="32"/>
          <w:szCs w:val="32"/>
        </w:rPr>
        <w:t xml:space="preserve">  </w:t>
      </w:r>
      <w:r>
        <w:rPr>
          <w:rFonts w:hint="eastAsia" w:ascii="仿宋_GB2312" w:hAnsi="宋体" w:eastAsia="仿宋_GB2312"/>
          <w:b/>
          <w:bCs/>
          <w:kern w:val="0"/>
          <w:sz w:val="32"/>
          <w:szCs w:val="32"/>
        </w:rPr>
        <w:t>单位概况</w:t>
      </w:r>
    </w:p>
    <w:p>
      <w:pPr>
        <w:spacing w:line="58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一、部门职责和机构设置</w:t>
      </w:r>
    </w:p>
    <w:p>
      <w:pPr>
        <w:spacing w:line="580" w:lineRule="exact"/>
        <w:outlineLvl w:val="1"/>
        <w:rPr>
          <w:rFonts w:ascii="仿宋_GB2312" w:hAnsi="宋体" w:eastAsia="仿宋_GB2312"/>
          <w:b/>
          <w:bCs/>
          <w:kern w:val="0"/>
          <w:sz w:val="32"/>
          <w:szCs w:val="32"/>
        </w:rPr>
      </w:pPr>
      <w:r>
        <w:rPr>
          <w:rFonts w:hint="eastAsia" w:ascii="仿宋_GB2312" w:hAnsi="宋体" w:eastAsia="仿宋_GB2312"/>
          <w:b/>
          <w:bCs/>
          <w:kern w:val="0"/>
          <w:sz w:val="32"/>
          <w:szCs w:val="32"/>
        </w:rPr>
        <w:t>第二部分</w:t>
      </w:r>
      <w:r>
        <w:rPr>
          <w:rFonts w:ascii="仿宋_GB2312" w:hAnsi="宋体" w:eastAsia="仿宋_GB2312"/>
          <w:b/>
          <w:bCs/>
          <w:kern w:val="0"/>
          <w:sz w:val="32"/>
          <w:szCs w:val="32"/>
        </w:rPr>
        <w:t xml:space="preserve">  2018</w:t>
      </w:r>
      <w:r>
        <w:rPr>
          <w:rFonts w:hint="eastAsia" w:ascii="仿宋_GB2312" w:hAnsi="宋体" w:eastAsia="仿宋_GB2312"/>
          <w:b/>
          <w:bCs/>
          <w:kern w:val="0"/>
          <w:sz w:val="32"/>
          <w:szCs w:val="32"/>
        </w:rPr>
        <w:t>年度部门预算数据说明</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一、本级预算及所属单位在内的汇总预算</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二、预算收支增减变化情况说明</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三、政府采购安排情况说明</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四、机关运行费及“三公”经费公开情况</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五、政府性基金预算拨款情况说明</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六、收支预算情况总体说明</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七、其他情况说明</w:t>
      </w:r>
    </w:p>
    <w:p>
      <w:pPr>
        <w:spacing w:line="580" w:lineRule="exact"/>
        <w:outlineLvl w:val="1"/>
        <w:rPr>
          <w:rFonts w:ascii="仿宋_GB2312" w:hAnsi="宋体" w:eastAsia="仿宋_GB2312"/>
          <w:b/>
          <w:bCs/>
          <w:kern w:val="0"/>
          <w:sz w:val="32"/>
          <w:szCs w:val="32"/>
        </w:rPr>
      </w:pPr>
      <w:r>
        <w:rPr>
          <w:rFonts w:hint="eastAsia" w:ascii="仿宋_GB2312" w:hAnsi="宋体" w:eastAsia="仿宋_GB2312"/>
          <w:b/>
          <w:bCs/>
          <w:kern w:val="0"/>
          <w:sz w:val="32"/>
          <w:szCs w:val="32"/>
        </w:rPr>
        <w:t>第三部分</w:t>
      </w:r>
      <w:r>
        <w:rPr>
          <w:rFonts w:ascii="仿宋_GB2312" w:hAnsi="宋体" w:eastAsia="仿宋_GB2312"/>
          <w:b/>
          <w:bCs/>
          <w:kern w:val="0"/>
          <w:sz w:val="32"/>
          <w:szCs w:val="32"/>
        </w:rPr>
        <w:t xml:space="preserve"> 2018</w:t>
      </w:r>
      <w:r>
        <w:rPr>
          <w:rFonts w:hint="eastAsia" w:ascii="仿宋_GB2312" w:hAnsi="宋体" w:eastAsia="仿宋_GB2312"/>
          <w:b/>
          <w:bCs/>
          <w:kern w:val="0"/>
          <w:sz w:val="32"/>
          <w:szCs w:val="32"/>
        </w:rPr>
        <w:t>年度部门预算公开表格</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一、收支预算总表</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二、收入预算总表</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三、支出预算总表</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四、财政拨款收支总表</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五、一般公共预算收入预算总表</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六、一般公共预算支出预算总表</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七、一般公共预算基本支出明细表</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八、一般公共预算财政拨款部门经济分类支出</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九、一般公共预算财政拨款政府经济分类支出表</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十、项目支出明细表</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十一、政府性基金预算总表</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十二、国有资本经营预算收支总表</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十三、三公经费预算表</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十四、政府采购支出表</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十五、政府购买服务支出表</w:t>
      </w:r>
    </w:p>
    <w:p>
      <w:pPr>
        <w:spacing w:line="580" w:lineRule="exact"/>
        <w:outlineLvl w:val="1"/>
        <w:rPr>
          <w:rFonts w:ascii="仿宋_GB2312" w:hAnsi="宋体" w:eastAsia="仿宋_GB2312"/>
          <w:b/>
          <w:bCs/>
          <w:kern w:val="0"/>
          <w:sz w:val="32"/>
          <w:szCs w:val="32"/>
        </w:rPr>
      </w:pPr>
      <w:r>
        <w:rPr>
          <w:rFonts w:hint="eastAsia" w:ascii="仿宋_GB2312" w:hAnsi="宋体" w:eastAsia="仿宋_GB2312"/>
          <w:b/>
          <w:bCs/>
          <w:kern w:val="0"/>
          <w:sz w:val="32"/>
          <w:szCs w:val="32"/>
        </w:rPr>
        <w:t>第四部分</w:t>
      </w:r>
      <w:r>
        <w:rPr>
          <w:rFonts w:ascii="仿宋_GB2312" w:hAnsi="宋体" w:eastAsia="仿宋_GB2312"/>
          <w:b/>
          <w:bCs/>
          <w:kern w:val="0"/>
          <w:sz w:val="32"/>
          <w:szCs w:val="32"/>
        </w:rPr>
        <w:t xml:space="preserve">  </w:t>
      </w:r>
      <w:r>
        <w:rPr>
          <w:rFonts w:hint="eastAsia" w:ascii="仿宋_GB2312" w:hAnsi="宋体" w:eastAsia="仿宋_GB2312"/>
          <w:b/>
          <w:bCs/>
          <w:kern w:val="0"/>
          <w:sz w:val="32"/>
          <w:szCs w:val="32"/>
        </w:rPr>
        <w:t>名词解释</w:t>
      </w:r>
    </w:p>
    <w:p>
      <w:pPr>
        <w:spacing w:afterLines="50" w:line="580" w:lineRule="exact"/>
        <w:outlineLvl w:val="1"/>
        <w:rPr>
          <w:rFonts w:ascii="仿宋_GB2312" w:hAnsi="仿宋" w:eastAsia="仿宋_GB2312"/>
          <w:sz w:val="32"/>
          <w:szCs w:val="32"/>
        </w:rPr>
      </w:pPr>
      <w:r>
        <w:rPr>
          <w:rFonts w:ascii="宋体" w:hAnsi="宋体"/>
        </w:rPr>
        <w:t xml:space="preserve"> </w:t>
      </w:r>
      <w:r>
        <w:t xml:space="preserve">   </w:t>
      </w:r>
    </w:p>
    <w:p>
      <w:pPr>
        <w:spacing w:line="580" w:lineRule="exact"/>
        <w:outlineLvl w:val="1"/>
        <w:rPr>
          <w:rFonts w:ascii="仿宋_GB2312" w:hAnsi="宋体" w:eastAsia="仿宋_GB2312"/>
          <w:kern w:val="0"/>
          <w:sz w:val="32"/>
          <w:szCs w:val="32"/>
        </w:rPr>
      </w:pPr>
      <w:r>
        <w:rPr>
          <w:rFonts w:ascii="仿宋_GB2312" w:hAnsi="宋体" w:eastAsia="仿宋_GB2312"/>
          <w:kern w:val="0"/>
          <w:sz w:val="32"/>
          <w:szCs w:val="32"/>
        </w:rPr>
        <w:t xml:space="preserve"> </w:t>
      </w:r>
    </w:p>
    <w:p>
      <w:pPr>
        <w:spacing w:line="580" w:lineRule="exact"/>
        <w:outlineLvl w:val="1"/>
        <w:rPr>
          <w:rFonts w:ascii="仿宋_GB2312" w:hAnsi="宋体" w:eastAsia="仿宋_GB2312"/>
          <w:kern w:val="0"/>
          <w:sz w:val="32"/>
          <w:szCs w:val="32"/>
        </w:rPr>
      </w:pPr>
      <w:r>
        <w:rPr>
          <w:rFonts w:ascii="仿宋_GB2312" w:hAnsi="宋体" w:eastAsia="仿宋_GB2312"/>
          <w:kern w:val="0"/>
          <w:sz w:val="32"/>
          <w:szCs w:val="32"/>
        </w:rPr>
        <w:t xml:space="preserve"> </w:t>
      </w:r>
    </w:p>
    <w:p>
      <w:pPr>
        <w:spacing w:line="580" w:lineRule="exact"/>
        <w:outlineLvl w:val="1"/>
        <w:rPr>
          <w:rFonts w:ascii="仿宋_GB2312" w:hAnsi="宋体" w:eastAsia="仿宋_GB2312"/>
          <w:kern w:val="0"/>
          <w:sz w:val="32"/>
          <w:szCs w:val="32"/>
        </w:rPr>
      </w:pPr>
      <w:r>
        <w:rPr>
          <w:rFonts w:ascii="仿宋_GB2312" w:hAnsi="宋体" w:eastAsia="仿宋_GB2312"/>
          <w:kern w:val="0"/>
          <w:sz w:val="32"/>
          <w:szCs w:val="32"/>
        </w:rPr>
        <w:t xml:space="preserve"> </w:t>
      </w:r>
    </w:p>
    <w:p>
      <w:pPr>
        <w:spacing w:line="580" w:lineRule="exact"/>
        <w:outlineLvl w:val="1"/>
        <w:rPr>
          <w:rFonts w:ascii="仿宋_GB2312" w:hAnsi="宋体" w:eastAsia="仿宋_GB2312"/>
          <w:kern w:val="0"/>
          <w:sz w:val="32"/>
          <w:szCs w:val="32"/>
        </w:rPr>
      </w:pPr>
      <w:r>
        <w:rPr>
          <w:rFonts w:ascii="仿宋_GB2312" w:hAnsi="宋体" w:eastAsia="仿宋_GB2312"/>
          <w:kern w:val="0"/>
          <w:sz w:val="32"/>
          <w:szCs w:val="32"/>
        </w:rPr>
        <w:t xml:space="preserve"> </w:t>
      </w:r>
    </w:p>
    <w:p>
      <w:pPr>
        <w:spacing w:line="580" w:lineRule="exact"/>
        <w:outlineLvl w:val="1"/>
        <w:rPr>
          <w:rFonts w:ascii="仿宋_GB2312" w:hAnsi="宋体" w:eastAsia="仿宋_GB2312"/>
          <w:kern w:val="0"/>
          <w:sz w:val="32"/>
          <w:szCs w:val="32"/>
        </w:rPr>
      </w:pPr>
      <w:r>
        <w:rPr>
          <w:rFonts w:ascii="仿宋_GB2312" w:hAnsi="宋体" w:eastAsia="仿宋_GB2312"/>
          <w:kern w:val="0"/>
          <w:sz w:val="32"/>
          <w:szCs w:val="32"/>
        </w:rPr>
        <w:t xml:space="preserve"> </w:t>
      </w:r>
    </w:p>
    <w:p>
      <w:pPr>
        <w:spacing w:line="580" w:lineRule="exact"/>
        <w:outlineLvl w:val="1"/>
        <w:rPr>
          <w:rFonts w:ascii="仿宋_GB2312" w:hAnsi="宋体" w:eastAsia="仿宋_GB2312"/>
          <w:kern w:val="0"/>
          <w:sz w:val="32"/>
          <w:szCs w:val="32"/>
        </w:rPr>
      </w:pPr>
      <w:r>
        <w:rPr>
          <w:rFonts w:ascii="仿宋_GB2312" w:hAnsi="宋体" w:eastAsia="仿宋_GB2312"/>
          <w:kern w:val="0"/>
          <w:sz w:val="32"/>
          <w:szCs w:val="32"/>
        </w:rPr>
        <w:t xml:space="preserve"> </w:t>
      </w:r>
    </w:p>
    <w:p>
      <w:pPr>
        <w:spacing w:line="580" w:lineRule="exact"/>
        <w:outlineLvl w:val="1"/>
        <w:rPr>
          <w:rFonts w:ascii="黑体" w:hAnsi="黑体" w:eastAsia="黑体"/>
          <w:kern w:val="0"/>
          <w:sz w:val="32"/>
          <w:szCs w:val="32"/>
        </w:rPr>
      </w:pPr>
    </w:p>
    <w:p>
      <w:pPr>
        <w:spacing w:line="580" w:lineRule="exact"/>
        <w:outlineLvl w:val="1"/>
        <w:rPr>
          <w:rFonts w:ascii="黑体" w:hAnsi="黑体" w:eastAsia="黑体"/>
          <w:kern w:val="0"/>
          <w:sz w:val="32"/>
          <w:szCs w:val="32"/>
        </w:rPr>
      </w:pPr>
    </w:p>
    <w:p>
      <w:pPr>
        <w:spacing w:line="580" w:lineRule="exact"/>
        <w:outlineLvl w:val="1"/>
        <w:rPr>
          <w:rFonts w:ascii="黑体" w:hAnsi="黑体" w:eastAsia="黑体"/>
          <w:kern w:val="0"/>
          <w:sz w:val="32"/>
          <w:szCs w:val="32"/>
        </w:rPr>
      </w:pPr>
    </w:p>
    <w:p>
      <w:pPr>
        <w:spacing w:line="580" w:lineRule="exact"/>
        <w:outlineLvl w:val="1"/>
        <w:rPr>
          <w:rFonts w:ascii="黑体" w:hAnsi="黑体" w:eastAsia="黑体"/>
          <w:kern w:val="0"/>
          <w:sz w:val="32"/>
          <w:szCs w:val="32"/>
        </w:rPr>
      </w:pPr>
    </w:p>
    <w:p>
      <w:pPr>
        <w:spacing w:line="580" w:lineRule="exact"/>
        <w:outlineLvl w:val="1"/>
        <w:rPr>
          <w:rFonts w:ascii="黑体" w:hAnsi="黑体" w:eastAsia="黑体"/>
          <w:kern w:val="0"/>
          <w:sz w:val="32"/>
          <w:szCs w:val="32"/>
        </w:rPr>
      </w:pPr>
    </w:p>
    <w:p>
      <w:pPr>
        <w:spacing w:line="580" w:lineRule="exact"/>
        <w:outlineLvl w:val="1"/>
        <w:rPr>
          <w:rFonts w:ascii="黑体" w:hAnsi="黑体" w:eastAsia="黑体"/>
          <w:kern w:val="0"/>
          <w:sz w:val="32"/>
          <w:szCs w:val="32"/>
        </w:rPr>
      </w:pPr>
    </w:p>
    <w:p>
      <w:pPr>
        <w:spacing w:line="580" w:lineRule="exact"/>
        <w:outlineLvl w:val="1"/>
        <w:rPr>
          <w:rFonts w:ascii="黑体" w:hAnsi="黑体" w:eastAsia="黑体"/>
          <w:kern w:val="0"/>
          <w:sz w:val="32"/>
          <w:szCs w:val="32"/>
        </w:rPr>
      </w:pPr>
    </w:p>
    <w:p>
      <w:pPr>
        <w:spacing w:line="580" w:lineRule="exact"/>
        <w:outlineLvl w:val="1"/>
        <w:rPr>
          <w:rFonts w:ascii="黑体" w:hAnsi="黑体" w:eastAsia="黑体"/>
          <w:kern w:val="0"/>
          <w:sz w:val="32"/>
          <w:szCs w:val="32"/>
        </w:rPr>
      </w:pPr>
    </w:p>
    <w:p>
      <w:pPr>
        <w:spacing w:line="580" w:lineRule="exact"/>
        <w:outlineLvl w:val="1"/>
        <w:rPr>
          <w:rFonts w:ascii="黑体" w:hAnsi="黑体" w:eastAsia="黑体"/>
          <w:kern w:val="0"/>
          <w:sz w:val="32"/>
          <w:szCs w:val="32"/>
        </w:rPr>
      </w:pPr>
    </w:p>
    <w:p>
      <w:pPr>
        <w:spacing w:line="580" w:lineRule="exact"/>
        <w:outlineLvl w:val="1"/>
        <w:rPr>
          <w:rFonts w:ascii="黑体" w:hAnsi="黑体" w:eastAsia="黑体"/>
          <w:kern w:val="0"/>
          <w:sz w:val="32"/>
          <w:szCs w:val="32"/>
        </w:rPr>
      </w:pPr>
    </w:p>
    <w:p>
      <w:pPr>
        <w:spacing w:line="580" w:lineRule="exact"/>
        <w:outlineLvl w:val="1"/>
        <w:rPr>
          <w:rFonts w:ascii="黑体" w:hAnsi="黑体" w:eastAsia="黑体"/>
          <w:kern w:val="0"/>
          <w:sz w:val="32"/>
          <w:szCs w:val="32"/>
        </w:rPr>
      </w:pPr>
      <w:r>
        <w:rPr>
          <w:rFonts w:hint="eastAsia" w:ascii="黑体" w:hAnsi="黑体" w:eastAsia="黑体"/>
          <w:kern w:val="0"/>
          <w:sz w:val="32"/>
          <w:szCs w:val="32"/>
        </w:rPr>
        <w:t>第一部分</w:t>
      </w:r>
      <w:r>
        <w:rPr>
          <w:rFonts w:ascii="黑体" w:hAnsi="黑体" w:eastAsia="黑体"/>
          <w:kern w:val="0"/>
          <w:sz w:val="32"/>
          <w:szCs w:val="32"/>
        </w:rPr>
        <w:t xml:space="preserve">  </w:t>
      </w:r>
      <w:r>
        <w:rPr>
          <w:rFonts w:hint="eastAsia" w:ascii="黑体" w:hAnsi="黑体" w:eastAsia="黑体"/>
          <w:kern w:val="0"/>
          <w:sz w:val="32"/>
          <w:szCs w:val="32"/>
        </w:rPr>
        <w:t>单位概况</w:t>
      </w:r>
    </w:p>
    <w:p>
      <w:pPr>
        <w:spacing w:line="580" w:lineRule="exact"/>
        <w:outlineLvl w:val="1"/>
        <w:rPr>
          <w:rFonts w:ascii="黑体" w:hAnsi="黑体" w:eastAsia="黑体"/>
          <w:kern w:val="0"/>
          <w:sz w:val="32"/>
          <w:szCs w:val="32"/>
        </w:rPr>
      </w:pPr>
      <w:r>
        <w:rPr>
          <w:rFonts w:ascii="仿宋_GB2312" w:hAnsi="宋体" w:eastAsia="仿宋_GB2312"/>
          <w:kern w:val="0"/>
          <w:sz w:val="32"/>
          <w:szCs w:val="32"/>
        </w:rPr>
        <w:t xml:space="preserve">    </w:t>
      </w:r>
      <w:r>
        <w:rPr>
          <w:rFonts w:hint="eastAsia" w:ascii="黑体" w:hAnsi="黑体" w:eastAsia="黑体"/>
          <w:kern w:val="0"/>
          <w:sz w:val="32"/>
          <w:szCs w:val="32"/>
        </w:rPr>
        <w:t>一、部门职责和机构设置</w:t>
      </w:r>
    </w:p>
    <w:p>
      <w:pPr>
        <w:rPr>
          <w:rFonts w:ascii="宋体" w:hAnsi="宋体" w:cs="宋体"/>
          <w:b/>
          <w:bCs/>
          <w:kern w:val="0"/>
          <w:sz w:val="32"/>
          <w:szCs w:val="32"/>
        </w:rPr>
      </w:pPr>
      <w:r>
        <w:rPr>
          <w:rFonts w:hint="eastAsia" w:ascii="黑体" w:hAnsi="黑体" w:eastAsia="黑体"/>
          <w:kern w:val="0"/>
          <w:sz w:val="32"/>
          <w:szCs w:val="32"/>
        </w:rPr>
        <w:t xml:space="preserve">    </w:t>
      </w:r>
      <w:r>
        <w:rPr>
          <w:rFonts w:hint="eastAsia" w:ascii="宋体" w:hAnsi="宋体" w:cs="宋体"/>
          <w:b/>
          <w:bCs/>
          <w:kern w:val="0"/>
          <w:sz w:val="32"/>
          <w:szCs w:val="32"/>
        </w:rPr>
        <w:t>（一）部门职责</w:t>
      </w:r>
    </w:p>
    <w:p>
      <w:pPr>
        <w:rPr>
          <w:rFonts w:ascii="仿宋" w:hAnsi="仿宋" w:eastAsia="仿宋" w:cs="宋体"/>
          <w:kern w:val="0"/>
          <w:sz w:val="32"/>
          <w:szCs w:val="32"/>
        </w:rPr>
      </w:pPr>
      <w:r>
        <w:rPr>
          <w:rFonts w:hint="eastAsia" w:ascii="仿宋" w:hAnsi="仿宋" w:eastAsia="仿宋" w:cs="宋体"/>
          <w:kern w:val="0"/>
          <w:sz w:val="32"/>
          <w:szCs w:val="32"/>
        </w:rPr>
        <w:t xml:space="preserve">   　中宁县工业（物流）园区委员会办公室（以下简称园区办）是一级预算拨款单位，主要职责有组织实施园区招商引资工作，为入园企业做好协调服务、公共设施管理、组织协调园区征地、拆迁、土地平整等基础实施项目的建设和管理等。</w:t>
      </w:r>
    </w:p>
    <w:p>
      <w:pPr>
        <w:widowControl/>
        <w:wordWrap w:val="0"/>
        <w:spacing w:line="580" w:lineRule="exact"/>
        <w:ind w:firstLine="320" w:firstLineChars="100"/>
        <w:jc w:val="left"/>
        <w:rPr>
          <w:rFonts w:ascii="宋体" w:hAnsi="宋体" w:cs="宋体"/>
          <w:b/>
          <w:bCs/>
          <w:kern w:val="0"/>
          <w:sz w:val="32"/>
          <w:szCs w:val="32"/>
        </w:rPr>
      </w:pPr>
      <w:r>
        <w:rPr>
          <w:rFonts w:hint="eastAsia" w:ascii="宋体" w:hAnsi="宋体" w:cs="宋体"/>
          <w:sz w:val="32"/>
          <w:szCs w:val="32"/>
        </w:rPr>
        <w:t>　</w:t>
      </w:r>
      <w:r>
        <w:rPr>
          <w:rFonts w:hint="eastAsia" w:ascii="宋体" w:hAnsi="宋体" w:cs="宋体"/>
          <w:b/>
          <w:bCs/>
          <w:kern w:val="0"/>
          <w:sz w:val="32"/>
          <w:szCs w:val="32"/>
        </w:rPr>
        <w:t>（二）机构情况</w:t>
      </w:r>
    </w:p>
    <w:p>
      <w:pPr>
        <w:rPr>
          <w:rFonts w:ascii="宋体" w:hAnsi="宋体" w:cs="宋体"/>
          <w:sz w:val="32"/>
          <w:szCs w:val="32"/>
        </w:rPr>
      </w:pPr>
      <w:r>
        <w:rPr>
          <w:rFonts w:hint="eastAsia" w:ascii="仿宋" w:hAnsi="仿宋" w:eastAsia="仿宋" w:cs="宋体"/>
          <w:kern w:val="0"/>
          <w:sz w:val="32"/>
          <w:szCs w:val="32"/>
        </w:rPr>
        <w:t xml:space="preserve">    园区办独立编制机构数为1个，独立核算机构数为1个。园区办内设办公室、公告服务部、规划项目部、安全环保监督部、物流园区管理部等机构。是财政全额拨款的事业单位，执行《事业单位会计制度》。共有事业编制人数20人，年末实有人数11人，其中：事业人员9人，行政人员2人，临时人员19人。</w:t>
      </w:r>
    </w:p>
    <w:p>
      <w:pPr>
        <w:jc w:val="left"/>
        <w:rPr>
          <w:rFonts w:ascii="黑体" w:hAnsi="黑体" w:eastAsia="黑体" w:cs="黑体"/>
          <w:b/>
          <w:bCs/>
          <w:kern w:val="0"/>
          <w:sz w:val="32"/>
          <w:szCs w:val="32"/>
        </w:rPr>
      </w:pPr>
      <w:r>
        <w:rPr>
          <w:rFonts w:hint="eastAsia" w:ascii="黑体" w:hAnsi="黑体" w:eastAsia="黑体" w:cs="黑体"/>
          <w:kern w:val="0"/>
          <w:sz w:val="32"/>
          <w:szCs w:val="32"/>
        </w:rPr>
        <w:t xml:space="preserve">    </w:t>
      </w:r>
      <w:r>
        <w:rPr>
          <w:rFonts w:hint="eastAsia" w:ascii="黑体" w:hAnsi="黑体" w:eastAsia="黑体" w:cs="黑体"/>
          <w:b/>
          <w:bCs/>
          <w:kern w:val="0"/>
          <w:sz w:val="32"/>
          <w:szCs w:val="32"/>
        </w:rPr>
        <w:t>第二部分  2018年度部门预算数据说明</w:t>
      </w:r>
    </w:p>
    <w:p>
      <w:pPr>
        <w:spacing w:line="580" w:lineRule="exact"/>
        <w:ind w:firstLine="643" w:firstLineChars="200"/>
        <w:rPr>
          <w:rFonts w:ascii="宋体" w:hAnsi="宋体" w:cs="宋体"/>
          <w:b/>
          <w:bCs/>
          <w:sz w:val="32"/>
          <w:szCs w:val="32"/>
        </w:rPr>
      </w:pPr>
      <w:r>
        <w:rPr>
          <w:rFonts w:hint="eastAsia" w:ascii="宋体" w:hAnsi="宋体" w:cs="宋体"/>
          <w:b/>
          <w:bCs/>
          <w:sz w:val="32"/>
          <w:szCs w:val="32"/>
        </w:rPr>
        <w:t>一、本级预算及所属单位预算在内的汇总预算</w:t>
      </w:r>
    </w:p>
    <w:p>
      <w:pPr>
        <w:rPr>
          <w:rFonts w:ascii="仿宋" w:hAnsi="仿宋" w:eastAsia="仿宋" w:cs="宋体"/>
          <w:sz w:val="32"/>
          <w:szCs w:val="32"/>
        </w:rPr>
      </w:pPr>
      <w:r>
        <w:rPr>
          <w:rFonts w:hint="eastAsia" w:ascii="宋体" w:hAnsi="宋体" w:cs="宋体"/>
          <w:kern w:val="0"/>
          <w:sz w:val="32"/>
          <w:szCs w:val="32"/>
        </w:rPr>
        <w:t xml:space="preserve">  </w:t>
      </w:r>
      <w:r>
        <w:rPr>
          <w:rFonts w:hint="eastAsia" w:ascii="仿宋" w:hAnsi="仿宋" w:eastAsia="仿宋" w:cs="宋体"/>
          <w:kern w:val="0"/>
          <w:sz w:val="32"/>
          <w:szCs w:val="32"/>
        </w:rPr>
        <w:t xml:space="preserve">  园区办2018年财政拨款收支总预算</w:t>
      </w:r>
      <w:r>
        <w:rPr>
          <w:rFonts w:hint="eastAsia" w:ascii="仿宋" w:hAnsi="仿宋" w:eastAsia="仿宋" w:cs="宋体"/>
          <w:sz w:val="32"/>
          <w:szCs w:val="32"/>
        </w:rPr>
        <w:t>670.82</w:t>
      </w:r>
      <w:r>
        <w:rPr>
          <w:rFonts w:hint="eastAsia" w:ascii="仿宋" w:hAnsi="仿宋" w:eastAsia="仿宋" w:cs="宋体"/>
          <w:kern w:val="0"/>
          <w:sz w:val="32"/>
          <w:szCs w:val="32"/>
        </w:rPr>
        <w:t>万元，与上年663.60相比增加7.72万元。收入预算包括：一般公共预算拨款</w:t>
      </w:r>
      <w:r>
        <w:rPr>
          <w:rFonts w:hint="eastAsia" w:ascii="仿宋" w:hAnsi="仿宋" w:eastAsia="仿宋" w:cs="宋体"/>
          <w:sz w:val="32"/>
          <w:szCs w:val="32"/>
        </w:rPr>
        <w:t>670.82</w:t>
      </w:r>
      <w:r>
        <w:rPr>
          <w:rFonts w:hint="eastAsia" w:ascii="仿宋" w:hAnsi="仿宋" w:eastAsia="仿宋" w:cs="宋体"/>
          <w:kern w:val="0"/>
          <w:sz w:val="32"/>
          <w:szCs w:val="32"/>
        </w:rPr>
        <w:t>万元。政府性基金预算拨款0万元。支出预算包括：一般公共服务支出121.09万元、资源勘探信息等支出500万元，社会保障和就业支出</w:t>
      </w:r>
      <w:r>
        <w:rPr>
          <w:rFonts w:hint="eastAsia" w:ascii="仿宋" w:hAnsi="仿宋" w:eastAsia="仿宋" w:cs="宋体"/>
          <w:sz w:val="32"/>
          <w:szCs w:val="32"/>
        </w:rPr>
        <w:t>23.5</w:t>
      </w:r>
      <w:r>
        <w:rPr>
          <w:rFonts w:hint="eastAsia" w:ascii="仿宋" w:hAnsi="仿宋" w:eastAsia="仿宋" w:cs="宋体"/>
          <w:kern w:val="0"/>
          <w:sz w:val="32"/>
          <w:szCs w:val="32"/>
        </w:rPr>
        <w:t>万元、医疗卫生和计划生育支出</w:t>
      </w:r>
      <w:r>
        <w:rPr>
          <w:rFonts w:hint="eastAsia" w:ascii="仿宋" w:hAnsi="仿宋" w:eastAsia="仿宋" w:cs="宋体"/>
          <w:sz w:val="32"/>
          <w:szCs w:val="32"/>
        </w:rPr>
        <w:t>9.91</w:t>
      </w:r>
      <w:r>
        <w:rPr>
          <w:rFonts w:hint="eastAsia" w:ascii="仿宋" w:hAnsi="仿宋" w:eastAsia="仿宋" w:cs="宋体"/>
          <w:kern w:val="0"/>
          <w:sz w:val="32"/>
          <w:szCs w:val="32"/>
        </w:rPr>
        <w:t>万元，住房保障支出</w:t>
      </w:r>
      <w:r>
        <w:rPr>
          <w:rFonts w:hint="eastAsia" w:ascii="仿宋" w:hAnsi="仿宋" w:eastAsia="仿宋" w:cs="宋体"/>
          <w:sz w:val="32"/>
          <w:szCs w:val="32"/>
        </w:rPr>
        <w:t>16.32</w:t>
      </w:r>
      <w:r>
        <w:rPr>
          <w:rFonts w:hint="eastAsia" w:ascii="仿宋" w:hAnsi="仿宋" w:eastAsia="仿宋" w:cs="宋体"/>
          <w:kern w:val="0"/>
          <w:sz w:val="32"/>
          <w:szCs w:val="32"/>
        </w:rPr>
        <w:t>万元。</w:t>
      </w:r>
    </w:p>
    <w:p>
      <w:pPr>
        <w:widowControl/>
        <w:spacing w:line="560" w:lineRule="exact"/>
        <w:ind w:firstLine="480"/>
        <w:jc w:val="left"/>
        <w:rPr>
          <w:rFonts w:ascii="宋体" w:hAnsi="宋体" w:cs="宋体"/>
          <w:b/>
          <w:bCs/>
          <w:kern w:val="0"/>
          <w:sz w:val="32"/>
          <w:szCs w:val="32"/>
        </w:rPr>
      </w:pPr>
      <w:r>
        <w:rPr>
          <w:rFonts w:hint="eastAsia" w:ascii="宋体" w:hAnsi="宋体" w:cs="宋体"/>
          <w:kern w:val="0"/>
          <w:sz w:val="32"/>
          <w:szCs w:val="32"/>
        </w:rPr>
        <w:t xml:space="preserve"> </w:t>
      </w:r>
      <w:r>
        <w:rPr>
          <w:rFonts w:hint="eastAsia" w:ascii="宋体" w:hAnsi="宋体" w:cs="宋体"/>
          <w:b/>
          <w:bCs/>
          <w:kern w:val="0"/>
          <w:sz w:val="32"/>
          <w:szCs w:val="32"/>
        </w:rPr>
        <w:t>二、预算收支增减变化情况</w:t>
      </w:r>
    </w:p>
    <w:p>
      <w:pPr>
        <w:widowControl/>
        <w:spacing w:line="560" w:lineRule="exact"/>
        <w:ind w:firstLine="480"/>
        <w:jc w:val="left"/>
        <w:rPr>
          <w:rFonts w:ascii="宋体" w:hAnsi="宋体" w:cs="宋体"/>
          <w:b/>
          <w:bCs/>
          <w:kern w:val="0"/>
          <w:sz w:val="32"/>
          <w:szCs w:val="32"/>
        </w:rPr>
      </w:pPr>
      <w:r>
        <w:rPr>
          <w:rFonts w:hint="eastAsia" w:ascii="宋体" w:hAnsi="宋体" w:cs="宋体"/>
          <w:b/>
          <w:bCs/>
          <w:kern w:val="0"/>
          <w:sz w:val="32"/>
          <w:szCs w:val="32"/>
        </w:rPr>
        <w:t>（一）基本支出情况说明</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 xml:space="preserve"> 园区办2018年一般公共预算拨款基本支出 670.82 万元，比2017年执行数据增加7.22万元，增加1.2%。其中：</w:t>
      </w:r>
    </w:p>
    <w:p>
      <w:pPr>
        <w:widowControl/>
        <w:spacing w:line="560" w:lineRule="exact"/>
        <w:jc w:val="left"/>
        <w:rPr>
          <w:rFonts w:ascii="仿宋" w:hAnsi="仿宋" w:eastAsia="仿宋" w:cs="宋体"/>
          <w:kern w:val="0"/>
          <w:sz w:val="32"/>
          <w:szCs w:val="32"/>
        </w:rPr>
      </w:pPr>
      <w:r>
        <w:rPr>
          <w:rFonts w:hint="eastAsia" w:ascii="仿宋" w:hAnsi="仿宋" w:eastAsia="仿宋" w:cs="宋体"/>
          <w:kern w:val="0"/>
          <w:sz w:val="32"/>
          <w:szCs w:val="32"/>
        </w:rPr>
        <w:t>人员经费170.82万元，主要包括：基本工资、津贴补贴、奖金、社会保障缴费、绩效工资、其他工资福利支出、离休费、退休费、生活补助、医疗费、住房公积金、购房补贴、其他对个人和家庭的补助支出等；</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公用经费14.5万元，主要包括：办公费、印刷费、咨询费、手续费、水费、电费、邮电费、取暖费、物业管理费、差旅费、维修（护）费、租赁费、会议费、培训费、公务接待费、专用材料费、劳务费、委托业务费、工会经费、公务用车运行维护费、其他交通费、其他商品和服务支出、办公设备购置、专用设备购置等。</w:t>
      </w:r>
    </w:p>
    <w:p>
      <w:pPr>
        <w:widowControl/>
        <w:spacing w:line="560" w:lineRule="exact"/>
        <w:ind w:firstLine="480"/>
        <w:jc w:val="left"/>
        <w:rPr>
          <w:rFonts w:ascii="宋体" w:hAnsi="宋体" w:cs="宋体"/>
          <w:b/>
          <w:bCs/>
          <w:kern w:val="0"/>
          <w:sz w:val="32"/>
          <w:szCs w:val="32"/>
        </w:rPr>
      </w:pPr>
      <w:r>
        <w:rPr>
          <w:rFonts w:hint="eastAsia" w:ascii="宋体" w:hAnsi="宋体" w:cs="宋体"/>
          <w:b/>
          <w:bCs/>
          <w:kern w:val="0"/>
          <w:sz w:val="32"/>
          <w:szCs w:val="32"/>
        </w:rPr>
        <w:t>（二）项目支出情况说明</w:t>
      </w:r>
    </w:p>
    <w:p>
      <w:pPr>
        <w:widowControl/>
        <w:spacing w:line="560" w:lineRule="exact"/>
        <w:ind w:firstLine="480"/>
        <w:jc w:val="left"/>
        <w:rPr>
          <w:rFonts w:ascii="仿宋" w:hAnsi="仿宋" w:eastAsia="仿宋" w:cs="宋体"/>
          <w:kern w:val="0"/>
          <w:sz w:val="32"/>
          <w:szCs w:val="32"/>
        </w:rPr>
      </w:pPr>
      <w:r>
        <w:rPr>
          <w:rFonts w:hint="eastAsia" w:ascii="仿宋" w:hAnsi="仿宋" w:eastAsia="仿宋" w:cs="宋体"/>
          <w:kern w:val="0"/>
          <w:sz w:val="32"/>
          <w:szCs w:val="32"/>
        </w:rPr>
        <w:t>2018年一般公共预算拨款项目支出 500 万元，主要是</w:t>
      </w:r>
    </w:p>
    <w:p>
      <w:pPr>
        <w:widowControl/>
        <w:spacing w:line="560" w:lineRule="exact"/>
        <w:jc w:val="left"/>
        <w:rPr>
          <w:rFonts w:ascii="仿宋" w:hAnsi="仿宋" w:eastAsia="仿宋" w:cs="宋体"/>
          <w:kern w:val="0"/>
          <w:sz w:val="32"/>
          <w:szCs w:val="32"/>
        </w:rPr>
      </w:pPr>
      <w:r>
        <w:rPr>
          <w:rFonts w:hint="eastAsia" w:ascii="仿宋" w:hAnsi="仿宋" w:eastAsia="仿宋" w:cs="宋体"/>
          <w:kern w:val="0"/>
          <w:sz w:val="32"/>
          <w:szCs w:val="32"/>
        </w:rPr>
        <w:t>2159999（其他资源信息勘探）500万，与上年持平。</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三、政府采购安排情况说明</w:t>
      </w:r>
    </w:p>
    <w:p>
      <w:pPr>
        <w:spacing w:line="580" w:lineRule="exact"/>
        <w:ind w:firstLine="640" w:firstLineChars="200"/>
        <w:rPr>
          <w:rFonts w:ascii="仿宋" w:hAnsi="仿宋" w:eastAsia="仿宋" w:cs="宋体"/>
          <w:sz w:val="32"/>
          <w:szCs w:val="32"/>
        </w:rPr>
      </w:pPr>
      <w:r>
        <w:rPr>
          <w:rFonts w:hint="eastAsia" w:ascii="仿宋" w:hAnsi="仿宋" w:eastAsia="仿宋" w:cs="宋体"/>
          <w:sz w:val="32"/>
          <w:szCs w:val="32"/>
        </w:rPr>
        <w:t>2018年政府采购项目100万。</w:t>
      </w:r>
    </w:p>
    <w:p>
      <w:pPr>
        <w:spacing w:line="580" w:lineRule="exact"/>
        <w:ind w:firstLine="640" w:firstLineChars="200"/>
        <w:rPr>
          <w:rFonts w:ascii="黑体" w:hAnsi="黑体" w:eastAsia="黑体" w:cs="黑体"/>
          <w:sz w:val="32"/>
          <w:szCs w:val="32"/>
        </w:rPr>
      </w:pPr>
      <w:r>
        <w:rPr>
          <w:rFonts w:hint="eastAsia" w:ascii="黑体" w:hAnsi="黑体" w:eastAsia="黑体" w:cs="黑体"/>
          <w:kern w:val="0"/>
          <w:sz w:val="32"/>
          <w:szCs w:val="32"/>
        </w:rPr>
        <w:t>四、</w:t>
      </w:r>
      <w:r>
        <w:rPr>
          <w:rFonts w:hint="eastAsia" w:ascii="黑体" w:hAnsi="黑体" w:eastAsia="黑体" w:cs="黑体"/>
          <w:sz w:val="32"/>
          <w:szCs w:val="32"/>
        </w:rPr>
        <w:t>机关运行费及“三公”经费公开情况</w:t>
      </w:r>
    </w:p>
    <w:p>
      <w:pPr>
        <w:widowControl/>
        <w:wordWrap w:val="0"/>
        <w:spacing w:line="580" w:lineRule="exact"/>
        <w:ind w:firstLine="800" w:firstLineChars="250"/>
        <w:jc w:val="left"/>
        <w:rPr>
          <w:rFonts w:ascii="仿宋" w:hAnsi="仿宋" w:eastAsia="仿宋" w:cs="宋体"/>
          <w:kern w:val="0"/>
          <w:sz w:val="32"/>
          <w:szCs w:val="32"/>
        </w:rPr>
      </w:pPr>
      <w:r>
        <w:rPr>
          <w:rFonts w:hint="eastAsia" w:ascii="仿宋" w:hAnsi="仿宋" w:eastAsia="仿宋" w:cs="宋体"/>
          <w:kern w:val="0"/>
          <w:sz w:val="32"/>
          <w:szCs w:val="32"/>
        </w:rPr>
        <w:t>2018年机关运行经费预算合计14.50万元，公用经费按照每人每年0.5万元的标准。与上年相比增加0.40万元。三公经费合计9.8万元，其中因公出国（境）预算0万元。园区办不存在因公出国（境）的情况，没有此项预算，与上年相同。公务用公务车运行维护费9万元，与上年持平。公务接待费0.8万元。公务用车购置费0万元，无新购入公务用车，与上年相同。</w:t>
      </w:r>
    </w:p>
    <w:p>
      <w:pPr>
        <w:widowControl/>
        <w:spacing w:line="560" w:lineRule="exact"/>
        <w:ind w:firstLine="480"/>
        <w:jc w:val="left"/>
        <w:rPr>
          <w:rFonts w:ascii="黑体" w:hAnsi="宋体" w:eastAsia="黑体" w:cs="宋体"/>
          <w:b/>
          <w:kern w:val="0"/>
          <w:sz w:val="32"/>
          <w:szCs w:val="32"/>
        </w:rPr>
      </w:pPr>
      <w:r>
        <w:rPr>
          <w:rFonts w:hint="eastAsia" w:ascii="黑体" w:hAnsi="宋体" w:eastAsia="黑体" w:cs="宋体"/>
          <w:b/>
          <w:kern w:val="0"/>
          <w:sz w:val="32"/>
          <w:szCs w:val="32"/>
        </w:rPr>
        <w:t>五、政府性基金预算拨款情况说明</w:t>
      </w:r>
    </w:p>
    <w:p>
      <w:pPr>
        <w:widowControl/>
        <w:spacing w:line="560" w:lineRule="exact"/>
        <w:ind w:firstLine="480"/>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（一）基本支出情况说明</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2018年政府性基金预算拨款基本支出 0万元，比2017年执行数据增加（减少）0万元，增长（下降） 0 %。其中：</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0万元，主要包括：基本工资、津贴补贴、奖金、社会保障缴费、伙食补助费、绩效工资、其他工资福利支出、离休费、退休费、抚恤金、生活补助、医疗费、助学金、奖励金、住房公积金、提租补贴、购房补贴、其他对个人和家庭的补助支出；</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0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办公设备购置、专用设备购置。</w:t>
      </w:r>
    </w:p>
    <w:p>
      <w:pPr>
        <w:widowControl/>
        <w:spacing w:line="560" w:lineRule="exact"/>
        <w:ind w:firstLine="480"/>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（二）项目支出情况说明</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2018年政府性基金预算拨款项目支出0万元,无项目说明</w:t>
      </w:r>
    </w:p>
    <w:p>
      <w:pPr>
        <w:widowControl/>
        <w:spacing w:line="560" w:lineRule="exact"/>
        <w:ind w:firstLine="480"/>
        <w:jc w:val="left"/>
        <w:rPr>
          <w:rFonts w:ascii="黑体" w:hAnsi="宋体" w:eastAsia="黑体" w:cs="宋体"/>
          <w:b/>
          <w:kern w:val="0"/>
          <w:sz w:val="32"/>
          <w:szCs w:val="32"/>
        </w:rPr>
      </w:pPr>
      <w:r>
        <w:rPr>
          <w:rFonts w:hint="eastAsia" w:ascii="黑体" w:hAnsi="宋体" w:eastAsia="黑体" w:cs="宋体"/>
          <w:b/>
          <w:kern w:val="0"/>
          <w:sz w:val="32"/>
          <w:szCs w:val="32"/>
        </w:rPr>
        <w:t>六、收支预算情况的总体说明</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收入总预算670.82万元，支出总预算670.82万元。</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收入预算包括：上年结转0万元，占0%；财政拨款收入670.82万元，占100%；事业收入0万元，占0%；事业单位经营收入0万元，占0%；其他收入0万元，占0%。</w:t>
      </w:r>
    </w:p>
    <w:p>
      <w:pPr>
        <w:widowControl/>
        <w:wordWrap w:val="0"/>
        <w:spacing w:line="580" w:lineRule="exact"/>
        <w:ind w:firstLine="800" w:firstLineChars="250"/>
        <w:jc w:val="left"/>
        <w:rPr>
          <w:rFonts w:ascii="仿宋_GB2312" w:hAnsi="宋体" w:eastAsia="仿宋_GB2312"/>
          <w:kern w:val="0"/>
          <w:sz w:val="32"/>
          <w:szCs w:val="32"/>
        </w:rPr>
      </w:pPr>
      <w:r>
        <w:rPr>
          <w:rFonts w:hint="eastAsia" w:ascii="仿宋_GB2312" w:hAnsi="宋体" w:eastAsia="仿宋_GB2312" w:cs="宋体"/>
          <w:kern w:val="0"/>
          <w:sz w:val="32"/>
          <w:szCs w:val="32"/>
        </w:rPr>
        <w:t>支出预算包括：基本支出170.82万元，占25.5%；项目支出500万元，事业单位经营支出0万元，占 0%；上缴上级支出0万元，占0%；对附属单位补助支出0万元，占0%</w:t>
      </w:r>
    </w:p>
    <w:p>
      <w:pPr>
        <w:widowControl/>
        <w:wordWrap w:val="0"/>
        <w:spacing w:line="580"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七、其他情况说明</w:t>
      </w:r>
    </w:p>
    <w:p>
      <w:pPr>
        <w:spacing w:line="500" w:lineRule="exact"/>
        <w:ind w:firstLine="472" w:firstLineChars="147"/>
        <w:outlineLvl w:val="1"/>
        <w:rPr>
          <w:rFonts w:ascii="宋体" w:hAnsi="宋体" w:cs="宋体"/>
          <w:b/>
          <w:bCs/>
          <w:kern w:val="0"/>
          <w:sz w:val="32"/>
          <w:szCs w:val="32"/>
        </w:rPr>
      </w:pPr>
      <w:r>
        <w:rPr>
          <w:rFonts w:hint="eastAsia" w:ascii="宋体" w:hAnsi="宋体" w:cs="宋体"/>
          <w:b/>
          <w:bCs/>
          <w:kern w:val="0"/>
          <w:sz w:val="32"/>
          <w:szCs w:val="32"/>
        </w:rPr>
        <w:t>1.国有资产占用使用情况</w:t>
      </w:r>
    </w:p>
    <w:p>
      <w:pPr>
        <w:spacing w:line="500" w:lineRule="exact"/>
        <w:ind w:firstLine="480" w:firstLineChars="150"/>
        <w:outlineLvl w:val="1"/>
        <w:rPr>
          <w:rFonts w:ascii="仿宋" w:hAnsi="仿宋" w:eastAsia="仿宋" w:cs="宋体"/>
          <w:kern w:val="0"/>
          <w:sz w:val="32"/>
          <w:szCs w:val="32"/>
        </w:rPr>
      </w:pPr>
      <w:r>
        <w:rPr>
          <w:rFonts w:hint="eastAsia" w:ascii="仿宋" w:hAnsi="仿宋" w:eastAsia="仿宋" w:cs="宋体"/>
          <w:kern w:val="0"/>
          <w:sz w:val="32"/>
          <w:szCs w:val="32"/>
        </w:rPr>
        <w:t xml:space="preserve"> 截至2017年12月31日，园区办占用使用国有资产总体情况为：车辆9辆，价值</w:t>
      </w:r>
      <w:r>
        <w:rPr>
          <w:rFonts w:hint="eastAsia" w:ascii="仿宋" w:hAnsi="仿宋" w:eastAsia="仿宋" w:cs="宋体"/>
          <w:sz w:val="32"/>
          <w:szCs w:val="32"/>
        </w:rPr>
        <w:t>195.79</w:t>
      </w:r>
      <w:r>
        <w:rPr>
          <w:rFonts w:hint="eastAsia" w:ascii="仿宋" w:hAnsi="仿宋" w:eastAsia="仿宋" w:cs="宋体"/>
          <w:kern w:val="0"/>
          <w:sz w:val="32"/>
          <w:szCs w:val="32"/>
        </w:rPr>
        <w:t>万元；办公家具、办公设备等其他资产价值</w:t>
      </w:r>
      <w:r>
        <w:rPr>
          <w:rFonts w:hint="eastAsia" w:ascii="仿宋" w:hAnsi="仿宋" w:eastAsia="仿宋" w:cs="宋体"/>
          <w:sz w:val="32"/>
          <w:szCs w:val="32"/>
        </w:rPr>
        <w:t>349.68</w:t>
      </w:r>
      <w:r>
        <w:rPr>
          <w:rFonts w:hint="eastAsia" w:ascii="仿宋" w:hAnsi="仿宋" w:eastAsia="仿宋" w:cs="宋体"/>
          <w:kern w:val="0"/>
          <w:sz w:val="32"/>
          <w:szCs w:val="32"/>
        </w:rPr>
        <w:t>万元。</w:t>
      </w:r>
    </w:p>
    <w:p>
      <w:pPr>
        <w:widowControl/>
        <w:wordWrap w:val="0"/>
        <w:spacing w:line="580" w:lineRule="exact"/>
        <w:ind w:firstLine="643" w:firstLineChars="200"/>
        <w:jc w:val="left"/>
        <w:rPr>
          <w:rFonts w:ascii="宋体" w:hAnsi="宋体" w:cs="宋体"/>
          <w:b/>
          <w:bCs/>
          <w:kern w:val="0"/>
          <w:sz w:val="32"/>
          <w:szCs w:val="32"/>
        </w:rPr>
      </w:pPr>
      <w:r>
        <w:rPr>
          <w:rFonts w:hint="eastAsia" w:ascii="宋体" w:hAnsi="宋体" w:cs="宋体"/>
          <w:b/>
          <w:bCs/>
          <w:kern w:val="0"/>
          <w:sz w:val="32"/>
          <w:szCs w:val="32"/>
        </w:rPr>
        <w:t>2.其他需说明的事项:无</w:t>
      </w:r>
    </w:p>
    <w:p>
      <w:pPr>
        <w:spacing w:line="500" w:lineRule="exact"/>
        <w:ind w:firstLine="470" w:firstLineChars="147"/>
        <w:outlineLvl w:val="1"/>
        <w:rPr>
          <w:rFonts w:ascii="仿宋" w:hAnsi="仿宋" w:eastAsia="仿宋" w:cs="宋体"/>
          <w:kern w:val="0"/>
          <w:sz w:val="32"/>
          <w:szCs w:val="32"/>
        </w:rPr>
      </w:pPr>
      <w:r>
        <w:rPr>
          <w:rFonts w:hint="eastAsia" w:ascii="仿宋" w:hAnsi="仿宋" w:eastAsia="仿宋" w:cs="宋体"/>
          <w:kern w:val="0"/>
          <w:sz w:val="32"/>
          <w:szCs w:val="32"/>
        </w:rPr>
        <w:t>1、其他需说明的事项</w:t>
      </w:r>
    </w:p>
    <w:p>
      <w:pPr>
        <w:widowControl/>
        <w:wordWrap w:val="0"/>
        <w:spacing w:line="580" w:lineRule="exac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无</w:t>
      </w:r>
    </w:p>
    <w:p>
      <w:pPr>
        <w:spacing w:line="580" w:lineRule="exact"/>
        <w:outlineLvl w:val="1"/>
        <w:rPr>
          <w:rFonts w:ascii="黑体" w:hAnsi="黑体" w:eastAsia="黑体"/>
          <w:b/>
          <w:bCs/>
          <w:kern w:val="0"/>
          <w:sz w:val="32"/>
          <w:szCs w:val="32"/>
        </w:rPr>
      </w:pPr>
      <w:r>
        <w:rPr>
          <w:rFonts w:hint="eastAsia" w:ascii="黑体" w:hAnsi="黑体" w:eastAsia="黑体"/>
          <w:kern w:val="0"/>
          <w:sz w:val="32"/>
          <w:szCs w:val="32"/>
        </w:rPr>
        <w:t xml:space="preserve">    </w:t>
      </w:r>
      <w:r>
        <w:rPr>
          <w:rFonts w:hint="eastAsia" w:ascii="黑体" w:hAnsi="黑体" w:eastAsia="黑体"/>
          <w:b/>
          <w:bCs/>
          <w:kern w:val="0"/>
          <w:sz w:val="32"/>
          <w:szCs w:val="32"/>
        </w:rPr>
        <w:t>第三部分</w:t>
      </w:r>
      <w:r>
        <w:rPr>
          <w:rFonts w:ascii="黑体" w:hAnsi="宋体" w:eastAsia="黑体"/>
          <w:b/>
          <w:bCs/>
          <w:kern w:val="0"/>
          <w:sz w:val="32"/>
          <w:szCs w:val="32"/>
        </w:rPr>
        <w:t xml:space="preserve"> </w:t>
      </w:r>
      <w:r>
        <w:rPr>
          <w:rFonts w:ascii="黑体" w:hAnsi="黑体" w:eastAsia="黑体"/>
          <w:b/>
          <w:bCs/>
          <w:kern w:val="0"/>
          <w:sz w:val="32"/>
          <w:szCs w:val="32"/>
        </w:rPr>
        <w:t>2018</w:t>
      </w:r>
      <w:r>
        <w:rPr>
          <w:rFonts w:hint="eastAsia" w:ascii="黑体" w:hAnsi="黑体" w:eastAsia="黑体"/>
          <w:b/>
          <w:bCs/>
          <w:kern w:val="0"/>
          <w:sz w:val="32"/>
          <w:szCs w:val="32"/>
        </w:rPr>
        <w:t>年度部门预算公开表格</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一、收支预算总表</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二、收入预算总表</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三、支出预算总表</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四、财政拨款收支总表</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五、一般公共预算收入预算总表</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六、一般公共预算支出预算总表</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七、一般公共预算基本支出明细表</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八、一般公共预算财政拨款部门经济分类支出</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九、一般公共预算财政拨款政府经济分类支出表</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十、项目支出明细表</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十一、政府性基金预算总表</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十二、国有资本经营预算收支总表</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十三、三公经费预算表</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十四、政府采购支出表</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十五、政府购买服务支出表</w:t>
      </w:r>
    </w:p>
    <w:p>
      <w:pPr>
        <w:spacing w:afterLines="50" w:line="580" w:lineRule="exact"/>
        <w:outlineLvl w:val="1"/>
        <w:rPr>
          <w:rFonts w:ascii="黑体" w:hAnsi="黑体" w:eastAsia="黑体"/>
          <w:kern w:val="0"/>
          <w:sz w:val="32"/>
          <w:szCs w:val="32"/>
        </w:rPr>
      </w:pPr>
      <w:r>
        <w:rPr>
          <w:rFonts w:hint="eastAsia" w:ascii="黑体" w:hAnsi="黑体" w:eastAsia="黑体"/>
          <w:kern w:val="0"/>
          <w:sz w:val="32"/>
          <w:szCs w:val="32"/>
        </w:rPr>
        <w:t xml:space="preserve">    第四部分</w:t>
      </w:r>
      <w:r>
        <w:rPr>
          <w:rFonts w:ascii="黑体" w:hAnsi="黑体" w:eastAsia="黑体"/>
          <w:kern w:val="0"/>
          <w:sz w:val="32"/>
          <w:szCs w:val="32"/>
        </w:rPr>
        <w:t xml:space="preserve">  </w:t>
      </w:r>
      <w:r>
        <w:rPr>
          <w:rFonts w:hint="eastAsia" w:ascii="黑体" w:hAnsi="黑体" w:eastAsia="黑体"/>
          <w:kern w:val="0"/>
          <w:sz w:val="32"/>
          <w:szCs w:val="32"/>
        </w:rPr>
        <w:t>名词解释</w:t>
      </w:r>
    </w:p>
    <w:p>
      <w:pPr>
        <w:spacing w:afterLines="50" w:line="580" w:lineRule="exact"/>
        <w:outlineLvl w:val="1"/>
        <w:rPr>
          <w:rFonts w:ascii="仿宋_GB2312" w:hAnsi="宋体" w:eastAsia="仿宋_GB2312"/>
          <w:kern w:val="0"/>
          <w:sz w:val="32"/>
          <w:szCs w:val="32"/>
        </w:rPr>
      </w:pPr>
      <w:r>
        <w:rPr>
          <w:rFonts w:ascii="宋体" w:hAnsi="宋体"/>
        </w:rPr>
        <w:t xml:space="preserve">  </w:t>
      </w:r>
      <w:r>
        <w:rPr>
          <w:rFonts w:hint="eastAsia" w:ascii="宋体" w:hAnsi="宋体"/>
        </w:rPr>
        <w:t xml:space="preserve">    </w:t>
      </w:r>
      <w:r>
        <w:rPr>
          <w:rFonts w:hint="eastAsia" w:ascii="仿宋_GB2312" w:hAnsi="仿宋" w:eastAsia="仿宋_GB2312"/>
          <w:sz w:val="32"/>
          <w:szCs w:val="32"/>
        </w:rPr>
        <w:t>一、支出功能分类科目编码、名称：按照《</w:t>
      </w:r>
      <w:r>
        <w:rPr>
          <w:rFonts w:ascii="仿宋_GB2312" w:hAnsi="仿宋" w:eastAsia="仿宋_GB2312"/>
          <w:sz w:val="32"/>
          <w:szCs w:val="32"/>
        </w:rPr>
        <w:t>2016</w:t>
      </w:r>
      <w:r>
        <w:rPr>
          <w:rFonts w:hint="eastAsia" w:ascii="仿宋_GB2312" w:hAnsi="仿宋" w:eastAsia="仿宋_GB2312"/>
          <w:sz w:val="32"/>
          <w:szCs w:val="32"/>
        </w:rPr>
        <w:t>年政府收支分类科目》</w:t>
      </w:r>
      <w:r>
        <w:rPr>
          <w:rFonts w:hint="eastAsia" w:ascii="仿宋" w:hAnsi="仿宋" w:eastAsia="仿宋"/>
          <w:sz w:val="32"/>
          <w:szCs w:val="32"/>
        </w:rPr>
        <w:t>“</w:t>
      </w:r>
      <w:r>
        <w:rPr>
          <w:rFonts w:hint="eastAsia" w:ascii="仿宋_GB2312" w:hAnsi="仿宋" w:eastAsia="仿宋_GB2312"/>
          <w:sz w:val="32"/>
          <w:szCs w:val="32"/>
        </w:rPr>
        <w:t>类</w:t>
      </w:r>
      <w:r>
        <w:rPr>
          <w:rFonts w:hint="eastAsia" w:ascii="仿宋" w:hAnsi="仿宋" w:eastAsia="仿宋"/>
          <w:sz w:val="32"/>
          <w:szCs w:val="32"/>
        </w:rPr>
        <w:t>”</w:t>
      </w:r>
      <w:r>
        <w:rPr>
          <w:rFonts w:hint="eastAsia" w:ascii="仿宋_GB2312" w:hAnsi="仿宋" w:eastAsia="仿宋_GB2312"/>
          <w:sz w:val="32"/>
          <w:szCs w:val="32"/>
        </w:rPr>
        <w:t>、</w:t>
      </w:r>
      <w:r>
        <w:rPr>
          <w:rFonts w:hint="eastAsia" w:ascii="仿宋" w:hAnsi="仿宋" w:eastAsia="仿宋"/>
          <w:sz w:val="32"/>
          <w:szCs w:val="32"/>
        </w:rPr>
        <w:t>“</w:t>
      </w:r>
      <w:r>
        <w:rPr>
          <w:rFonts w:hint="eastAsia" w:ascii="仿宋_GB2312" w:hAnsi="仿宋" w:eastAsia="仿宋_GB2312"/>
          <w:sz w:val="32"/>
          <w:szCs w:val="32"/>
        </w:rPr>
        <w:t>款</w:t>
      </w:r>
      <w:r>
        <w:rPr>
          <w:rFonts w:hint="eastAsia" w:ascii="仿宋" w:hAnsi="仿宋" w:eastAsia="仿宋"/>
          <w:sz w:val="32"/>
          <w:szCs w:val="32"/>
        </w:rPr>
        <w:t>”</w:t>
      </w:r>
      <w:r>
        <w:rPr>
          <w:rFonts w:hint="eastAsia" w:ascii="仿宋_GB2312" w:hAnsi="仿宋" w:eastAsia="仿宋_GB2312"/>
          <w:sz w:val="32"/>
          <w:szCs w:val="32"/>
        </w:rPr>
        <w:t>、</w:t>
      </w:r>
      <w:r>
        <w:rPr>
          <w:rFonts w:hint="eastAsia" w:ascii="仿宋" w:hAnsi="仿宋" w:eastAsia="仿宋"/>
          <w:sz w:val="32"/>
          <w:szCs w:val="32"/>
        </w:rPr>
        <w:t>“</w:t>
      </w:r>
      <w:r>
        <w:rPr>
          <w:rFonts w:hint="eastAsia" w:ascii="仿宋_GB2312" w:hAnsi="仿宋" w:eastAsia="仿宋_GB2312"/>
          <w:sz w:val="32"/>
          <w:szCs w:val="32"/>
        </w:rPr>
        <w:t>项</w:t>
      </w:r>
      <w:r>
        <w:rPr>
          <w:rFonts w:hint="eastAsia" w:ascii="仿宋" w:hAnsi="仿宋" w:eastAsia="仿宋"/>
          <w:sz w:val="32"/>
          <w:szCs w:val="32"/>
        </w:rPr>
        <w:t>”</w:t>
      </w:r>
      <w:r>
        <w:rPr>
          <w:rFonts w:hint="eastAsia" w:ascii="仿宋_GB2312" w:hAnsi="仿宋" w:eastAsia="仿宋_GB2312"/>
          <w:sz w:val="32"/>
          <w:szCs w:val="32"/>
        </w:rPr>
        <w:t>的编码和名称填列。</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 xml:space="preserve">  二、年初结转和结余：是指单位上年结转本年使用的基本支出结转、项目支出结转和结余和经营结余。</w:t>
      </w:r>
      <w:r>
        <w:rPr>
          <w:rFonts w:ascii="宋体" w:hAnsi="宋体"/>
          <w:sz w:val="32"/>
          <w:szCs w:val="32"/>
        </w:rPr>
        <w:t xml:space="preserve">  </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 xml:space="preserve">  三、基本支出结转：是指单位基本支出收支相抵后结转本年使用的累计余额，包括事业单位未转入事业基金的基本支出结转。</w:t>
      </w:r>
      <w:r>
        <w:rPr>
          <w:rFonts w:ascii="宋体" w:hAnsi="宋体"/>
          <w:sz w:val="32"/>
          <w:szCs w:val="32"/>
        </w:rPr>
        <w:t xml:space="preserve">  </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 xml:space="preserve">  四、项目支出结转和结余：是指单位从财政部门或上级单位等取得，需要结转本年继续使用的项目支出收支累计余额。</w:t>
      </w:r>
      <w:r>
        <w:rPr>
          <w:rFonts w:ascii="宋体" w:hAnsi="宋体"/>
          <w:sz w:val="32"/>
          <w:szCs w:val="32"/>
        </w:rPr>
        <w:t xml:space="preserve">  </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 xml:space="preserve">  五、基本建设资金结转和结余：是指单位基本建设类资金中非偿还性资金结转本年使用的累计余额。</w:t>
      </w:r>
      <w:r>
        <w:rPr>
          <w:rFonts w:ascii="宋体" w:hAnsi="宋体"/>
          <w:sz w:val="32"/>
          <w:szCs w:val="32"/>
        </w:rPr>
        <w:t xml:space="preserve">  </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 xml:space="preserve">   六、本年收入：是指单位本年度取得的全部收入。</w:t>
      </w:r>
      <w:r>
        <w:rPr>
          <w:rFonts w:ascii="宋体" w:hAnsi="宋体"/>
          <w:sz w:val="32"/>
          <w:szCs w:val="32"/>
        </w:rPr>
        <w:t xml:space="preserve">  </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 xml:space="preserve">   七、本年支出：是指单位本年度全部支出。</w:t>
      </w:r>
      <w:r>
        <w:rPr>
          <w:rFonts w:ascii="宋体" w:hAnsi="宋体"/>
          <w:sz w:val="32"/>
          <w:szCs w:val="32"/>
        </w:rPr>
        <w:t xml:space="preserve">  </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 xml:space="preserve">   八、结余分配：是指单位当年结余的分配情况。</w:t>
      </w:r>
      <w:r>
        <w:rPr>
          <w:rFonts w:ascii="宋体" w:hAnsi="宋体"/>
          <w:sz w:val="32"/>
          <w:szCs w:val="32"/>
        </w:rPr>
        <w:t xml:space="preserve">  </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 xml:space="preserve">   九、年末结转和结余：是指单位结转下年的基本支出结转、项目支出结转和结余和经营结余。</w:t>
      </w:r>
      <w:r>
        <w:rPr>
          <w:rFonts w:ascii="宋体" w:hAnsi="宋体"/>
          <w:sz w:val="32"/>
          <w:szCs w:val="32"/>
        </w:rPr>
        <w:t xml:space="preserve">  </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 xml:space="preserve">   十、财政拨款收入：是指单位本年度从本级财政部门取得的财政拨款，包括一般公共预算财政拨款和政府性基金预算财政拨款。</w:t>
      </w:r>
      <w:r>
        <w:rPr>
          <w:rFonts w:ascii="宋体" w:hAnsi="宋体"/>
          <w:sz w:val="32"/>
          <w:szCs w:val="32"/>
        </w:rPr>
        <w:t xml:space="preserve">  </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 xml:space="preserve">   十一、事业收入：是指事业单位开展专业业务活动及其辅助活动取得的收入。</w:t>
      </w:r>
      <w:r>
        <w:rPr>
          <w:rFonts w:ascii="宋体" w:hAnsi="宋体"/>
          <w:sz w:val="32"/>
          <w:szCs w:val="32"/>
        </w:rPr>
        <w:t xml:space="preserve">  </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w:t>
      </w:r>
      <w:r>
        <w:rPr>
          <w:rFonts w:ascii="仿宋_GB2312" w:hAnsi="仿宋" w:eastAsia="仿宋_GB2312"/>
          <w:sz w:val="32"/>
          <w:szCs w:val="32"/>
        </w:rPr>
        <w:t xml:space="preserve"> </w:t>
      </w:r>
      <w:r>
        <w:rPr>
          <w:rFonts w:hint="eastAsia" w:ascii="仿宋_GB2312" w:hAnsi="仿宋" w:eastAsia="仿宋_GB2312"/>
          <w:sz w:val="32"/>
          <w:szCs w:val="32"/>
        </w:rPr>
        <w:t>十二、经营收入：是指事业单位在专业业务活动及其辅助活动之外开展非独立核算经营活动取得的收入。</w:t>
      </w:r>
      <w:r>
        <w:rPr>
          <w:rFonts w:ascii="宋体" w:hAnsi="宋体"/>
          <w:sz w:val="32"/>
          <w:szCs w:val="32"/>
        </w:rPr>
        <w:t xml:space="preserve">  </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 xml:space="preserve">   十三、其他收入：是指单位取得的除“财政拨款收入</w:t>
      </w:r>
      <w:r>
        <w:rPr>
          <w:rFonts w:hint="eastAsia" w:ascii="仿宋" w:hAnsi="仿宋" w:eastAsia="仿宋"/>
          <w:sz w:val="32"/>
          <w:szCs w:val="32"/>
        </w:rPr>
        <w:t>”</w:t>
      </w:r>
      <w:r>
        <w:rPr>
          <w:rFonts w:hint="eastAsia" w:ascii="仿宋_GB2312" w:hAnsi="仿宋" w:eastAsia="仿宋_GB2312"/>
          <w:sz w:val="32"/>
          <w:szCs w:val="32"/>
        </w:rPr>
        <w:t>、</w:t>
      </w:r>
      <w:r>
        <w:rPr>
          <w:rFonts w:hint="eastAsia" w:ascii="仿宋" w:hAnsi="仿宋" w:eastAsia="仿宋"/>
          <w:sz w:val="32"/>
          <w:szCs w:val="32"/>
        </w:rPr>
        <w:t>“</w:t>
      </w:r>
      <w:r>
        <w:rPr>
          <w:rFonts w:hint="eastAsia" w:ascii="仿宋_GB2312" w:hAnsi="仿宋" w:eastAsia="仿宋_GB2312"/>
          <w:sz w:val="32"/>
          <w:szCs w:val="32"/>
        </w:rPr>
        <w:t>事业收入</w:t>
      </w:r>
      <w:r>
        <w:rPr>
          <w:rFonts w:hint="eastAsia" w:ascii="仿宋" w:hAnsi="仿宋" w:eastAsia="仿宋"/>
          <w:sz w:val="32"/>
          <w:szCs w:val="32"/>
        </w:rPr>
        <w:t>”</w:t>
      </w:r>
      <w:r>
        <w:rPr>
          <w:rFonts w:hint="eastAsia" w:ascii="仿宋_GB2312" w:hAnsi="仿宋" w:eastAsia="仿宋_GB2312"/>
          <w:sz w:val="32"/>
          <w:szCs w:val="32"/>
        </w:rPr>
        <w:t>、</w:t>
      </w:r>
      <w:r>
        <w:rPr>
          <w:rFonts w:hint="eastAsia" w:ascii="仿宋" w:hAnsi="仿宋" w:eastAsia="仿宋"/>
          <w:sz w:val="32"/>
          <w:szCs w:val="32"/>
        </w:rPr>
        <w:t>“</w:t>
      </w:r>
      <w:r>
        <w:rPr>
          <w:rFonts w:hint="eastAsia" w:ascii="仿宋_GB2312" w:hAnsi="仿宋" w:eastAsia="仿宋_GB2312"/>
          <w:sz w:val="32"/>
          <w:szCs w:val="32"/>
        </w:rPr>
        <w:t>经营收入</w:t>
      </w:r>
      <w:r>
        <w:rPr>
          <w:rFonts w:hint="eastAsia" w:ascii="仿宋" w:hAnsi="仿宋" w:eastAsia="仿宋"/>
          <w:sz w:val="32"/>
          <w:szCs w:val="32"/>
        </w:rPr>
        <w:t>”</w:t>
      </w:r>
      <w:r>
        <w:rPr>
          <w:rFonts w:hint="eastAsia" w:ascii="仿宋_GB2312" w:hAnsi="仿宋" w:eastAsia="仿宋_GB2312"/>
          <w:sz w:val="32"/>
          <w:szCs w:val="32"/>
        </w:rPr>
        <w:t>等以外的各项收入。</w:t>
      </w:r>
      <w:r>
        <w:rPr>
          <w:rFonts w:ascii="宋体" w:hAnsi="宋体"/>
          <w:sz w:val="32"/>
          <w:szCs w:val="32"/>
        </w:rPr>
        <w:t xml:space="preserve">  </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 xml:space="preserve">   十四、基本支出：是指单位为保障机构正常运转、完成日常工作任务而发生的各项支出。</w:t>
      </w:r>
      <w:r>
        <w:rPr>
          <w:rFonts w:ascii="宋体" w:hAnsi="宋体"/>
          <w:sz w:val="32"/>
          <w:szCs w:val="32"/>
        </w:rPr>
        <w:t xml:space="preserve">  </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 xml:space="preserve">   十五、项目支出：是指单位为完成特定的行政工作任务或事业发展目标，在基本支出之外发生的各项支出。</w:t>
      </w:r>
      <w:r>
        <w:rPr>
          <w:rFonts w:ascii="宋体" w:hAnsi="宋体"/>
          <w:sz w:val="32"/>
          <w:szCs w:val="32"/>
        </w:rPr>
        <w:t xml:space="preserve">  </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 xml:space="preserve">   十六、经营支出：是指事业单位在专业活动及辅助活动之外开展非独立核算经营活动发生的支出。</w:t>
      </w:r>
      <w:r>
        <w:rPr>
          <w:rFonts w:ascii="宋体" w:hAnsi="宋体"/>
          <w:sz w:val="32"/>
          <w:szCs w:val="32"/>
        </w:rPr>
        <w:t xml:space="preserve">  </w:t>
      </w: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 xml:space="preserve">   十七、人员经费：是指单位基本支出中用一般公共预算财政拨款安排的“工资福利支出</w:t>
      </w:r>
      <w:r>
        <w:rPr>
          <w:rFonts w:hint="eastAsia" w:ascii="仿宋" w:hAnsi="仿宋" w:eastAsia="仿宋"/>
          <w:sz w:val="32"/>
          <w:szCs w:val="32"/>
        </w:rPr>
        <w:t>”</w:t>
      </w:r>
      <w:r>
        <w:rPr>
          <w:rFonts w:hint="eastAsia" w:ascii="仿宋_GB2312" w:hAnsi="仿宋" w:eastAsia="仿宋_GB2312"/>
          <w:sz w:val="32"/>
          <w:szCs w:val="32"/>
        </w:rPr>
        <w:t>和</w:t>
      </w:r>
      <w:r>
        <w:rPr>
          <w:rFonts w:hint="eastAsia" w:ascii="仿宋" w:hAnsi="仿宋" w:eastAsia="仿宋"/>
          <w:sz w:val="32"/>
          <w:szCs w:val="32"/>
        </w:rPr>
        <w:t>“</w:t>
      </w:r>
      <w:r>
        <w:rPr>
          <w:rFonts w:hint="eastAsia" w:ascii="仿宋_GB2312" w:hAnsi="仿宋" w:eastAsia="仿宋_GB2312"/>
          <w:sz w:val="32"/>
          <w:szCs w:val="32"/>
        </w:rPr>
        <w:t>对个人和家庭的补助</w:t>
      </w:r>
      <w:r>
        <w:rPr>
          <w:rFonts w:hint="eastAsia" w:ascii="仿宋" w:hAnsi="仿宋" w:eastAsia="仿宋"/>
          <w:sz w:val="32"/>
          <w:szCs w:val="32"/>
        </w:rPr>
        <w:t>”</w:t>
      </w:r>
      <w:r>
        <w:rPr>
          <w:rFonts w:hint="eastAsia" w:ascii="仿宋_GB2312" w:hAnsi="仿宋" w:eastAsia="仿宋_GB2312"/>
          <w:sz w:val="32"/>
          <w:szCs w:val="32"/>
        </w:rPr>
        <w:t>。</w:t>
      </w:r>
      <w:r>
        <w:rPr>
          <w:rFonts w:ascii="宋体" w:hAnsi="宋体"/>
          <w:sz w:val="32"/>
          <w:szCs w:val="32"/>
        </w:rPr>
        <w:t xml:space="preserve">  </w:t>
      </w:r>
    </w:p>
    <w:p>
      <w:pPr>
        <w:pStyle w:val="13"/>
        <w:rPr>
          <w:rFonts w:ascii="宋体"/>
        </w:rPr>
      </w:pPr>
      <w:r>
        <w:t xml:space="preserve"> </w:t>
      </w:r>
    </w:p>
    <w:p>
      <w:pPr>
        <w:tabs>
          <w:tab w:val="left" w:pos="2130"/>
        </w:tabs>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3C0"/>
    <w:rsid w:val="00043575"/>
    <w:rsid w:val="00100E76"/>
    <w:rsid w:val="001D5711"/>
    <w:rsid w:val="002A3B4C"/>
    <w:rsid w:val="003C55C9"/>
    <w:rsid w:val="004233C0"/>
    <w:rsid w:val="00716535"/>
    <w:rsid w:val="00F4408A"/>
    <w:rsid w:val="00FF67CE"/>
    <w:rsid w:val="25483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uiPriority w:val="99"/>
    <w:rPr>
      <w:sz w:val="18"/>
      <w:szCs w:val="18"/>
    </w:rPr>
  </w:style>
  <w:style w:type="character" w:customStyle="1" w:styleId="12">
    <w:name w:val="标题 1 Char"/>
    <w:basedOn w:val="6"/>
    <w:link w:val="2"/>
    <w:uiPriority w:val="9"/>
    <w:rPr>
      <w:rFonts w:ascii="宋体" w:hAnsi="宋体" w:eastAsia="宋体" w:cs="宋体"/>
      <w:b/>
      <w:bCs/>
      <w:kern w:val="36"/>
      <w:sz w:val="48"/>
      <w:szCs w:val="48"/>
    </w:rPr>
  </w:style>
  <w:style w:type="paragraph" w:customStyle="1" w:styleId="13">
    <w:name w:val="普通(网站)1"/>
    <w:basedOn w:val="1"/>
    <w:qFormat/>
    <w:uiPriority w:val="0"/>
    <w:pPr>
      <w:spacing w:before="100" w:beforeAutospacing="1" w:after="100" w:afterAutospacing="1"/>
      <w:jc w:val="left"/>
    </w:pPr>
    <w:rPr>
      <w:rFonts w:ascii="Calibri" w:hAnsi="Calibri" w:eastAsia="宋体"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524</Words>
  <Characters>2988</Characters>
  <Lines>24</Lines>
  <Paragraphs>7</Paragraphs>
  <TotalTime>10</TotalTime>
  <ScaleCrop>false</ScaleCrop>
  <LinksUpToDate>false</LinksUpToDate>
  <CharactersWithSpaces>3505</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2018-08-14T08:20:00Z</dcterms:created>
  <dc:creator>China</dc:creator>
  <cp:lastModifiedBy>Administrator</cp:lastModifiedBy>
  <dcterms:modified xsi:type="dcterms:W3CDTF">2018-08-16T01:31:38Z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