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color w:val="auto"/>
          <w:sz w:val="36"/>
          <w:szCs w:val="36"/>
        </w:rPr>
      </w:pPr>
    </w:p>
    <w:p>
      <w:pPr>
        <w:rPr>
          <w:rFonts w:eastAsia="仿宋_GB2312"/>
          <w:color w:val="auto"/>
          <w:sz w:val="36"/>
          <w:szCs w:val="36"/>
        </w:rPr>
      </w:pPr>
    </w:p>
    <w:p>
      <w:pPr>
        <w:adjustRightInd w:val="0"/>
        <w:snapToGrid w:val="0"/>
        <w:jc w:val="center"/>
        <w:rPr>
          <w:rFonts w:eastAsia="方正小标宋_GBK"/>
          <w:bCs/>
          <w:color w:val="auto"/>
          <w:sz w:val="72"/>
          <w:szCs w:val="72"/>
        </w:rPr>
      </w:pPr>
      <w:r>
        <w:rPr>
          <w:rFonts w:eastAsia="方正小标宋_GBK"/>
          <w:bCs/>
          <w:color w:val="auto"/>
          <w:sz w:val="72"/>
          <w:szCs w:val="72"/>
        </w:rPr>
        <w:t>建设项目环境影响报告表</w:t>
      </w:r>
    </w:p>
    <w:p>
      <w:pPr>
        <w:adjustRightInd w:val="0"/>
        <w:snapToGrid w:val="0"/>
        <w:spacing w:before="372" w:beforeLines="80"/>
        <w:jc w:val="center"/>
        <w:rPr>
          <w:rFonts w:eastAsia="楷体_GB2312"/>
          <w:bCs/>
          <w:color w:val="auto"/>
          <w:sz w:val="48"/>
          <w:szCs w:val="48"/>
        </w:rPr>
      </w:pPr>
      <w:r>
        <w:rPr>
          <w:rFonts w:eastAsia="楷体_GB2312"/>
          <w:bCs/>
          <w:color w:val="auto"/>
          <w:sz w:val="48"/>
          <w:szCs w:val="48"/>
        </w:rPr>
        <w:t>（污染影响类）</w:t>
      </w:r>
    </w:p>
    <w:p>
      <w:pPr>
        <w:jc w:val="center"/>
        <w:rPr>
          <w:rFonts w:eastAsia="仿宋"/>
          <w:color w:val="auto"/>
          <w:sz w:val="52"/>
          <w:szCs w:val="52"/>
        </w:rPr>
      </w:pPr>
    </w:p>
    <w:p>
      <w:pPr>
        <w:ind w:firstLine="1040"/>
        <w:rPr>
          <w:rFonts w:eastAsia="仿宋"/>
          <w:color w:val="auto"/>
          <w:sz w:val="44"/>
          <w:szCs w:val="44"/>
        </w:rPr>
      </w:pPr>
    </w:p>
    <w:p>
      <w:pPr>
        <w:ind w:firstLine="1040"/>
        <w:rPr>
          <w:rFonts w:eastAsia="仿宋"/>
          <w:color w:val="auto"/>
          <w:sz w:val="44"/>
          <w:szCs w:val="44"/>
        </w:rPr>
      </w:pPr>
    </w:p>
    <w:p>
      <w:pPr>
        <w:adjustRightInd w:val="0"/>
        <w:snapToGrid w:val="0"/>
        <w:spacing w:line="360" w:lineRule="auto"/>
        <w:ind w:firstLine="672" w:firstLineChars="200"/>
        <w:jc w:val="left"/>
        <w:rPr>
          <w:rFonts w:eastAsia="仿宋_GB2312"/>
          <w:color w:val="auto"/>
          <w:sz w:val="32"/>
          <w:szCs w:val="32"/>
          <w:u w:val="single"/>
        </w:rPr>
      </w:pPr>
    </w:p>
    <w:p>
      <w:pPr>
        <w:pStyle w:val="32"/>
        <w:rPr>
          <w:rFonts w:ascii="Times New Roman" w:hAnsi="Times New Roman" w:cs="Times New Roman"/>
          <w:color w:val="auto"/>
        </w:rPr>
      </w:pPr>
    </w:p>
    <w:p>
      <w:pPr>
        <w:rPr>
          <w:color w:val="auto"/>
        </w:rPr>
      </w:pPr>
    </w:p>
    <w:p>
      <w:pPr>
        <w:adjustRightInd w:val="0"/>
        <w:snapToGrid w:val="0"/>
        <w:spacing w:line="288" w:lineRule="auto"/>
        <w:ind w:left="2266" w:leftChars="171" w:hanging="1880" w:hangingChars="500"/>
        <w:rPr>
          <w:rFonts w:hint="default" w:eastAsia="宋体"/>
          <w:color w:val="auto"/>
          <w:sz w:val="32"/>
          <w:szCs w:val="32"/>
          <w:u w:val="single"/>
          <w:lang w:val="en-US" w:eastAsia="zh-CN"/>
        </w:rPr>
      </w:pPr>
      <w:r>
        <w:rPr>
          <w:color w:val="auto"/>
          <w:sz w:val="36"/>
          <w:szCs w:val="36"/>
        </w:rPr>
        <w:t>项目名称：</w:t>
      </w:r>
      <w:r>
        <w:rPr>
          <w:rFonts w:hint="eastAsia"/>
          <w:color w:val="auto"/>
          <w:sz w:val="36"/>
          <w:szCs w:val="36"/>
          <w:u w:val="single"/>
        </w:rPr>
        <w:t>宁夏</w:t>
      </w:r>
      <w:r>
        <w:rPr>
          <w:rFonts w:hint="eastAsia"/>
          <w:color w:val="auto"/>
          <w:sz w:val="36"/>
          <w:szCs w:val="36"/>
          <w:u w:val="single"/>
          <w:lang w:val="en-US" w:eastAsia="zh-CN"/>
        </w:rPr>
        <w:t xml:space="preserve">中宁宁新实业有限公司新堡加油站改扩建项目                            </w:t>
      </w:r>
    </w:p>
    <w:p>
      <w:pPr>
        <w:adjustRightInd w:val="0"/>
        <w:snapToGrid w:val="0"/>
        <w:spacing w:line="288" w:lineRule="auto"/>
        <w:ind w:firstLine="376" w:firstLineChars="100"/>
        <w:rPr>
          <w:rFonts w:hint="default" w:eastAsia="宋体"/>
          <w:color w:val="auto"/>
          <w:sz w:val="36"/>
          <w:szCs w:val="36"/>
          <w:lang w:val="en-US" w:eastAsia="zh-CN"/>
        </w:rPr>
      </w:pPr>
      <w:r>
        <w:rPr>
          <w:color w:val="auto"/>
          <w:sz w:val="36"/>
          <w:szCs w:val="36"/>
        </w:rPr>
        <w:t>建设单位：</w:t>
      </w:r>
      <w:r>
        <w:rPr>
          <w:rFonts w:hint="eastAsia"/>
          <w:color w:val="auto"/>
          <w:sz w:val="36"/>
          <w:szCs w:val="36"/>
          <w:u w:val="single"/>
          <w:lang w:val="en-US" w:eastAsia="zh-CN"/>
        </w:rPr>
        <w:t xml:space="preserve">      宁</w:t>
      </w:r>
      <w:r>
        <w:rPr>
          <w:rFonts w:hint="eastAsia"/>
          <w:color w:val="auto"/>
          <w:sz w:val="36"/>
          <w:szCs w:val="36"/>
          <w:u w:val="single"/>
        </w:rPr>
        <w:t>夏</w:t>
      </w:r>
      <w:r>
        <w:rPr>
          <w:rFonts w:hint="eastAsia"/>
          <w:color w:val="auto"/>
          <w:sz w:val="36"/>
          <w:szCs w:val="36"/>
          <w:u w:val="single"/>
          <w:lang w:val="en-US" w:eastAsia="zh-CN"/>
        </w:rPr>
        <w:t xml:space="preserve">中宁宁新实业有限公司            </w:t>
      </w:r>
    </w:p>
    <w:p>
      <w:pPr>
        <w:adjustRightInd w:val="0"/>
        <w:snapToGrid w:val="0"/>
        <w:spacing w:line="288" w:lineRule="auto"/>
        <w:ind w:firstLine="376" w:firstLineChars="100"/>
        <w:rPr>
          <w:rFonts w:hint="default" w:eastAsia="宋体"/>
          <w:color w:val="auto"/>
          <w:sz w:val="36"/>
          <w:szCs w:val="36"/>
          <w:lang w:val="en-US" w:eastAsia="zh-CN"/>
        </w:rPr>
      </w:pPr>
      <w:r>
        <w:rPr>
          <w:color w:val="auto"/>
          <w:sz w:val="36"/>
          <w:szCs w:val="36"/>
        </w:rPr>
        <w:t>编制日期：</w:t>
      </w:r>
      <w:r>
        <w:rPr>
          <w:rFonts w:hint="eastAsia"/>
          <w:color w:val="auto"/>
          <w:sz w:val="36"/>
          <w:szCs w:val="36"/>
          <w:u w:val="single"/>
          <w:lang w:val="en-US" w:eastAsia="zh-CN"/>
        </w:rPr>
        <w:t xml:space="preserve">          二</w:t>
      </w:r>
      <w:r>
        <w:rPr>
          <w:color w:val="auto"/>
          <w:sz w:val="36"/>
          <w:szCs w:val="36"/>
          <w:u w:val="single"/>
        </w:rPr>
        <w:t>〇二</w:t>
      </w:r>
      <w:r>
        <w:rPr>
          <w:rFonts w:hint="eastAsia"/>
          <w:color w:val="auto"/>
          <w:sz w:val="36"/>
          <w:szCs w:val="36"/>
          <w:u w:val="single"/>
          <w:lang w:val="en-US" w:eastAsia="zh-CN"/>
        </w:rPr>
        <w:t>二</w:t>
      </w:r>
      <w:r>
        <w:rPr>
          <w:color w:val="auto"/>
          <w:sz w:val="36"/>
          <w:szCs w:val="36"/>
          <w:u w:val="single"/>
        </w:rPr>
        <w:t>年</w:t>
      </w:r>
      <w:r>
        <w:rPr>
          <w:rFonts w:hint="eastAsia"/>
          <w:color w:val="auto"/>
          <w:sz w:val="36"/>
          <w:szCs w:val="36"/>
          <w:u w:val="single"/>
          <w:lang w:val="en-US" w:eastAsia="zh-CN"/>
        </w:rPr>
        <w:t>二</w:t>
      </w:r>
      <w:r>
        <w:rPr>
          <w:color w:val="auto"/>
          <w:sz w:val="36"/>
          <w:szCs w:val="36"/>
          <w:u w:val="single"/>
        </w:rPr>
        <w:t>月</w:t>
      </w:r>
      <w:r>
        <w:rPr>
          <w:rFonts w:hint="eastAsia"/>
          <w:color w:val="auto"/>
          <w:sz w:val="36"/>
          <w:szCs w:val="36"/>
          <w:u w:val="single"/>
          <w:lang w:val="en-US" w:eastAsia="zh-CN"/>
        </w:rPr>
        <w:t xml:space="preserve">                      </w:t>
      </w:r>
    </w:p>
    <w:p>
      <w:pPr>
        <w:adjustRightInd w:val="0"/>
        <w:snapToGrid w:val="0"/>
        <w:spacing w:line="288" w:lineRule="auto"/>
        <w:ind w:firstLine="1040"/>
        <w:rPr>
          <w:rFonts w:eastAsia="仿宋_GB2312"/>
          <w:color w:val="auto"/>
          <w:sz w:val="36"/>
          <w:szCs w:val="36"/>
          <w:u w:val="single"/>
        </w:rPr>
      </w:pPr>
      <w:bookmarkStart w:id="0" w:name="_Hlk57884087"/>
    </w:p>
    <w:p>
      <w:pPr>
        <w:adjustRightInd w:val="0"/>
        <w:snapToGrid w:val="0"/>
        <w:spacing w:line="360" w:lineRule="auto"/>
        <w:ind w:firstLine="752" w:firstLineChars="200"/>
        <w:jc w:val="left"/>
        <w:rPr>
          <w:rFonts w:eastAsia="仿宋_GB2312"/>
          <w:color w:val="auto"/>
          <w:sz w:val="36"/>
          <w:szCs w:val="36"/>
          <w:u w:val="single"/>
        </w:rPr>
      </w:pPr>
    </w:p>
    <w:p>
      <w:pPr>
        <w:rPr>
          <w:color w:val="auto"/>
        </w:rPr>
      </w:pPr>
    </w:p>
    <w:p>
      <w:pPr>
        <w:pStyle w:val="32"/>
        <w:rPr>
          <w:rFonts w:ascii="Times New Roman" w:hAnsi="Times New Roman" w:cs="Times New Roman"/>
          <w:color w:val="auto"/>
        </w:rPr>
      </w:pPr>
    </w:p>
    <w:bookmarkEnd w:id="0"/>
    <w:p>
      <w:pPr>
        <w:adjustRightInd w:val="0"/>
        <w:snapToGrid w:val="0"/>
        <w:spacing w:line="288" w:lineRule="auto"/>
        <w:jc w:val="center"/>
        <w:rPr>
          <w:rFonts w:eastAsia="楷体_GB2312"/>
          <w:color w:val="auto"/>
          <w:sz w:val="36"/>
          <w:szCs w:val="36"/>
        </w:rPr>
        <w:sectPr>
          <w:footerReference r:id="rId3" w:type="even"/>
          <w:pgSz w:w="11905" w:h="16838"/>
          <w:pgMar w:top="1417" w:right="1417" w:bottom="1417" w:left="1417" w:header="851" w:footer="964" w:gutter="0"/>
          <w:pgBorders>
            <w:top w:val="none" w:sz="0" w:space="0"/>
            <w:left w:val="none" w:sz="0" w:space="0"/>
            <w:bottom w:val="none" w:sz="0" w:space="0"/>
            <w:right w:val="none" w:sz="0" w:space="0"/>
          </w:pgBorders>
          <w:pgNumType w:fmt="numberInDash" w:start="3"/>
          <w:cols w:space="720" w:num="1"/>
          <w:docGrid w:type="linesAndChars" w:linePitch="466" w:charSpace="3435"/>
        </w:sectPr>
      </w:pPr>
      <w:r>
        <w:rPr>
          <w:rFonts w:eastAsia="楷体_GB2312"/>
          <w:color w:val="auto"/>
          <w:sz w:val="36"/>
          <w:szCs w:val="36"/>
        </w:rPr>
        <w:t>中华人民共和国生态环境部</w:t>
      </w: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jc w:val="both"/>
        <w:textAlignment w:val="auto"/>
        <w:outlineLvl w:val="0"/>
        <w:rPr>
          <w:rFonts w:ascii="Times New Roman" w:hAnsi="Times New Roman" w:eastAsia="黑体"/>
          <w:snapToGrid w:val="0"/>
          <w:color w:val="auto"/>
          <w:sz w:val="30"/>
          <w:szCs w:val="30"/>
        </w:rPr>
      </w:pP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jc w:val="both"/>
        <w:textAlignment w:val="auto"/>
        <w:outlineLvl w:val="0"/>
        <w:rPr>
          <w:rFonts w:hint="eastAsia" w:ascii="Times New Roman" w:hAnsi="Times New Roman" w:eastAsia="黑体"/>
          <w:snapToGrid w:val="0"/>
          <w:color w:val="auto"/>
          <w:sz w:val="30"/>
          <w:szCs w:val="30"/>
          <w:lang w:val="en-US" w:eastAsia="zh-CN"/>
        </w:rPr>
      </w:pP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snapToGrid w:val="0"/>
          <w:color w:val="auto"/>
          <w:sz w:val="30"/>
          <w:szCs w:val="30"/>
          <w:lang w:val="en-US" w:eastAsia="zh-CN"/>
        </w:rPr>
      </w:pPr>
      <w:r>
        <w:rPr>
          <w:rFonts w:hint="eastAsia" w:ascii="Times New Roman" w:hAnsi="Times New Roman" w:eastAsia="黑体"/>
          <w:snapToGrid w:val="0"/>
          <w:color w:val="auto"/>
          <w:sz w:val="30"/>
          <w:szCs w:val="30"/>
          <w:lang w:val="en-US" w:eastAsia="zh-CN"/>
        </w:rPr>
        <w:t>一、建设项目基本情况</w:t>
      </w:r>
    </w:p>
    <w:tbl>
      <w:tblPr>
        <w:tblStyle w:val="26"/>
        <w:tblW w:w="526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680"/>
        <w:gridCol w:w="1248"/>
        <w:gridCol w:w="2049"/>
        <w:gridCol w:w="1989"/>
        <w:gridCol w:w="36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73" w:hRule="atLeast"/>
          <w:jc w:val="center"/>
        </w:trPr>
        <w:tc>
          <w:tcPr>
            <w:tcW w:w="1007" w:type="pct"/>
            <w:gridSpan w:val="2"/>
            <w:tcMar>
              <w:top w:w="16" w:type="dxa"/>
              <w:left w:w="16" w:type="dxa"/>
              <w:right w:w="16" w:type="dxa"/>
            </w:tcMar>
            <w:vAlign w:val="center"/>
          </w:tcPr>
          <w:p>
            <w:pPr>
              <w:adjustRightInd w:val="0"/>
              <w:snapToGrid w:val="0"/>
              <w:jc w:val="center"/>
              <w:rPr>
                <w:b/>
                <w:bCs/>
                <w:color w:val="auto"/>
                <w:sz w:val="24"/>
              </w:rPr>
            </w:pPr>
            <w:r>
              <w:rPr>
                <w:b/>
                <w:bCs/>
                <w:color w:val="auto"/>
                <w:sz w:val="24"/>
              </w:rPr>
              <w:t>建设项目</w:t>
            </w:r>
          </w:p>
          <w:p>
            <w:pPr>
              <w:adjustRightInd w:val="0"/>
              <w:snapToGrid w:val="0"/>
              <w:jc w:val="center"/>
              <w:rPr>
                <w:b/>
                <w:bCs/>
                <w:color w:val="auto"/>
                <w:sz w:val="24"/>
              </w:rPr>
            </w:pPr>
            <w:r>
              <w:rPr>
                <w:b/>
                <w:bCs/>
                <w:color w:val="auto"/>
                <w:sz w:val="24"/>
              </w:rPr>
              <w:t>名称</w:t>
            </w:r>
          </w:p>
        </w:tc>
        <w:tc>
          <w:tcPr>
            <w:tcW w:w="3992" w:type="pct"/>
            <w:gridSpan w:val="3"/>
            <w:vAlign w:val="center"/>
          </w:tcPr>
          <w:p>
            <w:pPr>
              <w:adjustRightInd w:val="0"/>
              <w:snapToGrid w:val="0"/>
              <w:jc w:val="center"/>
              <w:rPr>
                <w:color w:val="auto"/>
                <w:sz w:val="24"/>
              </w:rPr>
            </w:pPr>
            <w:bookmarkStart w:id="4" w:name="_GoBack"/>
            <w:r>
              <w:rPr>
                <w:rFonts w:hint="eastAsia"/>
                <w:color w:val="auto"/>
                <w:sz w:val="24"/>
              </w:rPr>
              <w:t>宁夏中宁宁新实业有限公司新堡加油站改扩建项目</w:t>
            </w:r>
            <w:bookmarkEnd w:id="4"/>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8" w:hRule="atLeast"/>
          <w:jc w:val="center"/>
        </w:trPr>
        <w:tc>
          <w:tcPr>
            <w:tcW w:w="1007" w:type="pct"/>
            <w:gridSpan w:val="2"/>
            <w:tcMar>
              <w:top w:w="16" w:type="dxa"/>
              <w:left w:w="16" w:type="dxa"/>
              <w:right w:w="16" w:type="dxa"/>
            </w:tcMar>
            <w:vAlign w:val="center"/>
          </w:tcPr>
          <w:p>
            <w:pPr>
              <w:adjustRightInd w:val="0"/>
              <w:snapToGrid w:val="0"/>
              <w:jc w:val="center"/>
              <w:rPr>
                <w:b/>
                <w:bCs/>
                <w:color w:val="auto"/>
                <w:sz w:val="24"/>
              </w:rPr>
            </w:pPr>
            <w:r>
              <w:rPr>
                <w:b/>
                <w:bCs/>
                <w:color w:val="auto"/>
                <w:sz w:val="24"/>
              </w:rPr>
              <w:t>项目代码</w:t>
            </w:r>
          </w:p>
        </w:tc>
        <w:tc>
          <w:tcPr>
            <w:tcW w:w="3992" w:type="pct"/>
            <w:gridSpan w:val="3"/>
            <w:vAlign w:val="center"/>
          </w:tcPr>
          <w:p>
            <w:pPr>
              <w:adjustRightInd w:val="0"/>
              <w:snapToGrid w:val="0"/>
              <w:jc w:val="center"/>
              <w:rPr>
                <w:rFonts w:hint="eastAsia" w:eastAsia="宋体"/>
                <w:color w:val="auto"/>
                <w:sz w:val="24"/>
                <w:lang w:val="en-US" w:eastAsia="zh-CN"/>
              </w:rPr>
            </w:pPr>
            <w:r>
              <w:rPr>
                <w:rFonts w:hint="eastAsia"/>
                <w:color w:val="auto"/>
                <w:sz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6" w:hRule="atLeast"/>
          <w:jc w:val="center"/>
        </w:trPr>
        <w:tc>
          <w:tcPr>
            <w:tcW w:w="1007" w:type="pct"/>
            <w:gridSpan w:val="2"/>
            <w:tcMar>
              <w:top w:w="16" w:type="dxa"/>
              <w:left w:w="16" w:type="dxa"/>
              <w:right w:w="16" w:type="dxa"/>
            </w:tcMar>
            <w:vAlign w:val="center"/>
          </w:tcPr>
          <w:p>
            <w:pPr>
              <w:adjustRightInd w:val="0"/>
              <w:snapToGrid w:val="0"/>
              <w:jc w:val="center"/>
              <w:rPr>
                <w:b/>
                <w:bCs/>
                <w:color w:val="auto"/>
                <w:sz w:val="24"/>
              </w:rPr>
            </w:pPr>
            <w:r>
              <w:rPr>
                <w:b/>
                <w:bCs/>
                <w:color w:val="auto"/>
                <w:sz w:val="24"/>
              </w:rPr>
              <w:t>建设单位</w:t>
            </w:r>
          </w:p>
          <w:p>
            <w:pPr>
              <w:adjustRightInd w:val="0"/>
              <w:snapToGrid w:val="0"/>
              <w:jc w:val="center"/>
              <w:rPr>
                <w:b/>
                <w:bCs/>
                <w:color w:val="auto"/>
                <w:sz w:val="24"/>
              </w:rPr>
            </w:pPr>
            <w:r>
              <w:rPr>
                <w:b/>
                <w:bCs/>
                <w:color w:val="auto"/>
                <w:sz w:val="24"/>
              </w:rPr>
              <w:t>联系人</w:t>
            </w:r>
          </w:p>
        </w:tc>
        <w:tc>
          <w:tcPr>
            <w:tcW w:w="1070" w:type="pct"/>
            <w:vAlign w:val="center"/>
          </w:tcPr>
          <w:p>
            <w:pPr>
              <w:adjustRightInd w:val="0"/>
              <w:snapToGrid w:val="0"/>
              <w:jc w:val="center"/>
              <w:rPr>
                <w:color w:val="auto"/>
                <w:sz w:val="24"/>
              </w:rPr>
            </w:pPr>
            <w:r>
              <w:rPr>
                <w:rFonts w:hint="eastAsia"/>
                <w:color w:val="auto"/>
                <w:sz w:val="24"/>
              </w:rPr>
              <w:t xml:space="preserve"> 毛兴</w:t>
            </w:r>
          </w:p>
        </w:tc>
        <w:tc>
          <w:tcPr>
            <w:tcW w:w="1039" w:type="pct"/>
            <w:vAlign w:val="center"/>
          </w:tcPr>
          <w:p>
            <w:pPr>
              <w:adjustRightInd w:val="0"/>
              <w:snapToGrid w:val="0"/>
              <w:jc w:val="center"/>
              <w:rPr>
                <w:b/>
                <w:color w:val="auto"/>
                <w:sz w:val="24"/>
              </w:rPr>
            </w:pPr>
            <w:r>
              <w:rPr>
                <w:b/>
                <w:color w:val="auto"/>
                <w:sz w:val="24"/>
              </w:rPr>
              <w:t>联系方式</w:t>
            </w:r>
          </w:p>
        </w:tc>
        <w:tc>
          <w:tcPr>
            <w:tcW w:w="1883" w:type="pct"/>
            <w:vAlign w:val="center"/>
          </w:tcPr>
          <w:p>
            <w:pPr>
              <w:adjustRightInd w:val="0"/>
              <w:snapToGrid w:val="0"/>
              <w:jc w:val="center"/>
              <w:rPr>
                <w:color w:val="auto"/>
                <w:sz w:val="24"/>
              </w:rPr>
            </w:pPr>
            <w:r>
              <w:rPr>
                <w:rFonts w:hint="eastAsia"/>
                <w:color w:val="auto"/>
                <w:sz w:val="24"/>
              </w:rPr>
              <w:t>13723331858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07" w:hRule="atLeast"/>
          <w:jc w:val="center"/>
        </w:trPr>
        <w:tc>
          <w:tcPr>
            <w:tcW w:w="1007" w:type="pct"/>
            <w:gridSpan w:val="2"/>
            <w:tcMar>
              <w:top w:w="16" w:type="dxa"/>
              <w:left w:w="16" w:type="dxa"/>
              <w:right w:w="16" w:type="dxa"/>
            </w:tcMar>
            <w:vAlign w:val="center"/>
          </w:tcPr>
          <w:p>
            <w:pPr>
              <w:adjustRightInd w:val="0"/>
              <w:snapToGrid w:val="0"/>
              <w:jc w:val="center"/>
              <w:rPr>
                <w:b/>
                <w:bCs/>
                <w:color w:val="auto"/>
                <w:sz w:val="24"/>
              </w:rPr>
            </w:pPr>
            <w:r>
              <w:rPr>
                <w:b/>
                <w:bCs/>
                <w:color w:val="auto"/>
                <w:sz w:val="24"/>
              </w:rPr>
              <w:t>建设地点</w:t>
            </w:r>
          </w:p>
        </w:tc>
        <w:tc>
          <w:tcPr>
            <w:tcW w:w="3992" w:type="pct"/>
            <w:gridSpan w:val="3"/>
            <w:vAlign w:val="center"/>
          </w:tcPr>
          <w:p>
            <w:pPr>
              <w:adjustRightInd w:val="0"/>
              <w:snapToGrid w:val="0"/>
              <w:jc w:val="center"/>
              <w:rPr>
                <w:rFonts w:hint="default" w:eastAsia="宋体"/>
                <w:color w:val="auto"/>
                <w:sz w:val="24"/>
                <w:lang w:val="en-US" w:eastAsia="zh-CN"/>
              </w:rPr>
            </w:pPr>
            <w:r>
              <w:rPr>
                <w:rFonts w:hint="eastAsia"/>
                <w:color w:val="auto"/>
                <w:sz w:val="24"/>
                <w:u w:val="single"/>
                <w:lang w:val="en-US" w:eastAsia="zh-CN"/>
              </w:rPr>
              <w:t xml:space="preserve"> 宁</w:t>
            </w:r>
            <w:r>
              <w:rPr>
                <w:color w:val="auto"/>
                <w:sz w:val="24"/>
                <w:u w:val="single"/>
              </w:rPr>
              <w:t>夏回族</w:t>
            </w:r>
            <w:r>
              <w:rPr>
                <w:rFonts w:hint="eastAsia"/>
                <w:color w:val="auto"/>
                <w:sz w:val="24"/>
                <w:u w:val="single"/>
                <w:lang w:val="en-US" w:eastAsia="zh-CN"/>
              </w:rPr>
              <w:t xml:space="preserve"> </w:t>
            </w:r>
            <w:r>
              <w:rPr>
                <w:color w:val="auto"/>
                <w:sz w:val="24"/>
              </w:rPr>
              <w:t>自治区</w:t>
            </w:r>
            <w:r>
              <w:rPr>
                <w:rFonts w:hint="eastAsia"/>
                <w:color w:val="auto"/>
                <w:sz w:val="24"/>
                <w:u w:val="single"/>
                <w:lang w:val="en-US" w:eastAsia="zh-CN"/>
              </w:rPr>
              <w:t xml:space="preserve"> 中卫 </w:t>
            </w:r>
            <w:r>
              <w:rPr>
                <w:color w:val="auto"/>
                <w:sz w:val="24"/>
              </w:rPr>
              <w:t>市</w:t>
            </w:r>
            <w:r>
              <w:rPr>
                <w:rFonts w:hint="eastAsia"/>
                <w:color w:val="auto"/>
                <w:sz w:val="24"/>
                <w:u w:val="single"/>
                <w:lang w:val="en-US" w:eastAsia="zh-CN"/>
              </w:rPr>
              <w:t xml:space="preserve"> 中宁 </w:t>
            </w:r>
            <w:r>
              <w:rPr>
                <w:color w:val="auto"/>
                <w:sz w:val="24"/>
              </w:rPr>
              <w:t>县</w:t>
            </w:r>
            <w:r>
              <w:rPr>
                <w:rFonts w:hint="eastAsia"/>
                <w:color w:val="auto"/>
                <w:sz w:val="24"/>
                <w:u w:val="single"/>
                <w:lang w:val="en-US" w:eastAsia="zh-CN"/>
              </w:rPr>
              <w:t xml:space="preserve"> 新堡镇新堡村G109复线与S101线交叉口东南侧300m处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1007" w:type="pct"/>
            <w:gridSpan w:val="2"/>
            <w:tcMar>
              <w:top w:w="16" w:type="dxa"/>
              <w:left w:w="16" w:type="dxa"/>
              <w:right w:w="16" w:type="dxa"/>
            </w:tcMar>
            <w:vAlign w:val="center"/>
          </w:tcPr>
          <w:p>
            <w:pPr>
              <w:adjustRightInd w:val="0"/>
              <w:snapToGrid w:val="0"/>
              <w:jc w:val="center"/>
              <w:rPr>
                <w:b/>
                <w:bCs/>
                <w:color w:val="auto"/>
                <w:sz w:val="24"/>
              </w:rPr>
            </w:pPr>
            <w:r>
              <w:rPr>
                <w:b/>
                <w:bCs/>
                <w:color w:val="auto"/>
                <w:sz w:val="24"/>
              </w:rPr>
              <w:t>地理坐标</w:t>
            </w:r>
          </w:p>
        </w:tc>
        <w:tc>
          <w:tcPr>
            <w:tcW w:w="3992" w:type="pct"/>
            <w:gridSpan w:val="3"/>
            <w:vAlign w:val="center"/>
          </w:tcPr>
          <w:p>
            <w:pPr>
              <w:adjustRightInd w:val="0"/>
              <w:snapToGrid w:val="0"/>
              <w:jc w:val="center"/>
              <w:rPr>
                <w:color w:val="auto"/>
                <w:sz w:val="24"/>
              </w:rPr>
            </w:pPr>
            <w:r>
              <w:rPr>
                <w:rFonts w:hint="eastAsia"/>
                <w:color w:val="auto"/>
                <w:sz w:val="24"/>
              </w:rPr>
              <w:t>建设项目中心坐标</w:t>
            </w:r>
            <w:r>
              <w:rPr>
                <w:color w:val="auto"/>
                <w:sz w:val="24"/>
              </w:rPr>
              <w:t>（10</w:t>
            </w:r>
            <w:r>
              <w:rPr>
                <w:rFonts w:hint="eastAsia"/>
                <w:color w:val="auto"/>
                <w:sz w:val="24"/>
                <w:lang w:val="en-US" w:eastAsia="zh-CN"/>
              </w:rPr>
              <w:t>5</w:t>
            </w:r>
            <w:r>
              <w:rPr>
                <w:color w:val="auto"/>
                <w:sz w:val="24"/>
              </w:rPr>
              <w:t>度</w:t>
            </w:r>
            <w:r>
              <w:rPr>
                <w:rFonts w:hint="eastAsia"/>
                <w:color w:val="auto"/>
                <w:sz w:val="24"/>
                <w:lang w:val="en-US" w:eastAsia="zh-CN"/>
              </w:rPr>
              <w:t>41</w:t>
            </w:r>
            <w:r>
              <w:rPr>
                <w:color w:val="auto"/>
                <w:sz w:val="24"/>
              </w:rPr>
              <w:t>分</w:t>
            </w:r>
            <w:r>
              <w:rPr>
                <w:rFonts w:hint="eastAsia"/>
                <w:color w:val="auto"/>
                <w:sz w:val="24"/>
                <w:lang w:val="en-US" w:eastAsia="zh-CN"/>
              </w:rPr>
              <w:t>54.245</w:t>
            </w:r>
            <w:r>
              <w:rPr>
                <w:color w:val="auto"/>
                <w:sz w:val="24"/>
              </w:rPr>
              <w:t>秒，37度</w:t>
            </w:r>
            <w:r>
              <w:rPr>
                <w:rFonts w:hint="eastAsia"/>
                <w:color w:val="auto"/>
                <w:sz w:val="24"/>
                <w:lang w:val="en-US" w:eastAsia="zh-CN"/>
              </w:rPr>
              <w:t>2</w:t>
            </w:r>
            <w:r>
              <w:rPr>
                <w:rFonts w:hint="eastAsia"/>
                <w:color w:val="auto"/>
                <w:sz w:val="24"/>
              </w:rPr>
              <w:t>8</w:t>
            </w:r>
            <w:r>
              <w:rPr>
                <w:color w:val="auto"/>
                <w:sz w:val="24"/>
              </w:rPr>
              <w:t>分</w:t>
            </w:r>
            <w:r>
              <w:rPr>
                <w:rFonts w:hint="eastAsia"/>
                <w:color w:val="auto"/>
                <w:sz w:val="24"/>
                <w:lang w:val="en-US" w:eastAsia="zh-CN"/>
              </w:rPr>
              <w:t>28.351</w:t>
            </w:r>
            <w:r>
              <w:rPr>
                <w:color w:val="auto"/>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22" w:hRule="atLeast"/>
          <w:jc w:val="center"/>
        </w:trPr>
        <w:tc>
          <w:tcPr>
            <w:tcW w:w="1007" w:type="pct"/>
            <w:gridSpan w:val="2"/>
            <w:tcMar>
              <w:top w:w="16" w:type="dxa"/>
              <w:left w:w="16" w:type="dxa"/>
              <w:right w:w="16" w:type="dxa"/>
            </w:tcMar>
            <w:vAlign w:val="center"/>
          </w:tcPr>
          <w:p>
            <w:pPr>
              <w:adjustRightInd w:val="0"/>
              <w:snapToGrid w:val="0"/>
              <w:jc w:val="center"/>
              <w:rPr>
                <w:b/>
                <w:bCs/>
                <w:color w:val="auto"/>
                <w:sz w:val="24"/>
              </w:rPr>
            </w:pPr>
            <w:r>
              <w:rPr>
                <w:b/>
                <w:bCs/>
                <w:color w:val="auto"/>
                <w:sz w:val="24"/>
              </w:rPr>
              <w:t>国民经济</w:t>
            </w:r>
          </w:p>
          <w:p>
            <w:pPr>
              <w:adjustRightInd w:val="0"/>
              <w:snapToGrid w:val="0"/>
              <w:jc w:val="center"/>
              <w:rPr>
                <w:b/>
                <w:bCs/>
                <w:color w:val="auto"/>
                <w:sz w:val="24"/>
              </w:rPr>
            </w:pPr>
            <w:r>
              <w:rPr>
                <w:b/>
                <w:bCs/>
                <w:color w:val="auto"/>
                <w:sz w:val="24"/>
              </w:rPr>
              <w:t>行业类别</w:t>
            </w:r>
          </w:p>
        </w:tc>
        <w:tc>
          <w:tcPr>
            <w:tcW w:w="1070" w:type="pct"/>
            <w:vAlign w:val="center"/>
          </w:tcPr>
          <w:p>
            <w:pPr>
              <w:adjustRightInd w:val="0"/>
              <w:snapToGrid w:val="0"/>
              <w:jc w:val="left"/>
              <w:rPr>
                <w:color w:val="auto"/>
                <w:sz w:val="24"/>
              </w:rPr>
            </w:pPr>
            <w:r>
              <w:rPr>
                <w:rFonts w:hint="eastAsia"/>
                <w:color w:val="auto"/>
                <w:sz w:val="24"/>
              </w:rPr>
              <w:t>F5265—机动车燃油零售</w:t>
            </w:r>
          </w:p>
        </w:tc>
        <w:tc>
          <w:tcPr>
            <w:tcW w:w="1039" w:type="pct"/>
            <w:vAlign w:val="center"/>
          </w:tcPr>
          <w:p>
            <w:pPr>
              <w:adjustRightInd w:val="0"/>
              <w:snapToGrid w:val="0"/>
              <w:jc w:val="center"/>
              <w:rPr>
                <w:b/>
                <w:color w:val="auto"/>
                <w:sz w:val="24"/>
              </w:rPr>
            </w:pPr>
            <w:bookmarkStart w:id="1" w:name="_Hlk49843745"/>
            <w:r>
              <w:rPr>
                <w:b/>
                <w:color w:val="auto"/>
                <w:sz w:val="24"/>
              </w:rPr>
              <w:t>建设项目</w:t>
            </w:r>
          </w:p>
          <w:p>
            <w:pPr>
              <w:adjustRightInd w:val="0"/>
              <w:snapToGrid w:val="0"/>
              <w:jc w:val="center"/>
              <w:rPr>
                <w:b/>
                <w:color w:val="auto"/>
                <w:sz w:val="24"/>
              </w:rPr>
            </w:pPr>
            <w:r>
              <w:rPr>
                <w:b/>
                <w:color w:val="auto"/>
                <w:sz w:val="24"/>
              </w:rPr>
              <w:t>行业类别</w:t>
            </w:r>
            <w:bookmarkEnd w:id="1"/>
          </w:p>
        </w:tc>
        <w:tc>
          <w:tcPr>
            <w:tcW w:w="1883" w:type="pct"/>
            <w:vAlign w:val="center"/>
          </w:tcPr>
          <w:p>
            <w:pPr>
              <w:autoSpaceDE w:val="0"/>
              <w:autoSpaceDN w:val="0"/>
              <w:adjustRightInd w:val="0"/>
              <w:snapToGrid w:val="0"/>
              <w:jc w:val="left"/>
              <w:rPr>
                <w:color w:val="auto"/>
                <w:kern w:val="0"/>
                <w:sz w:val="24"/>
                <w:szCs w:val="21"/>
              </w:rPr>
            </w:pPr>
            <w:r>
              <w:rPr>
                <w:rFonts w:hint="eastAsia" w:hAnsi="宋体"/>
                <w:color w:val="auto"/>
                <w:kern w:val="0"/>
                <w:sz w:val="24"/>
                <w:szCs w:val="21"/>
              </w:rPr>
              <w:t>五十、社会事业与服务业； 119、加油、加气站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70" w:hRule="atLeast"/>
          <w:jc w:val="center"/>
        </w:trPr>
        <w:tc>
          <w:tcPr>
            <w:tcW w:w="1007" w:type="pct"/>
            <w:gridSpan w:val="2"/>
            <w:tcMar>
              <w:top w:w="16" w:type="dxa"/>
              <w:left w:w="16" w:type="dxa"/>
              <w:right w:w="16" w:type="dxa"/>
            </w:tcMar>
            <w:vAlign w:val="center"/>
          </w:tcPr>
          <w:p>
            <w:pPr>
              <w:adjustRightInd w:val="0"/>
              <w:snapToGrid w:val="0"/>
              <w:jc w:val="center"/>
              <w:rPr>
                <w:b/>
                <w:bCs/>
                <w:color w:val="auto"/>
                <w:sz w:val="24"/>
              </w:rPr>
            </w:pPr>
            <w:r>
              <w:rPr>
                <w:b/>
                <w:bCs/>
                <w:color w:val="auto"/>
                <w:sz w:val="24"/>
              </w:rPr>
              <w:t>建设性质</w:t>
            </w:r>
          </w:p>
        </w:tc>
        <w:tc>
          <w:tcPr>
            <w:tcW w:w="1070" w:type="pct"/>
            <w:vAlign w:val="center"/>
          </w:tcPr>
          <w:p>
            <w:pPr>
              <w:adjustRightInd w:val="0"/>
              <w:snapToGrid w:val="0"/>
              <w:ind w:firstLine="250" w:firstLineChars="98"/>
              <w:rPr>
                <w:color w:val="auto"/>
                <w:sz w:val="24"/>
              </w:rPr>
            </w:pPr>
            <w:r>
              <w:rPr>
                <w:color w:val="auto"/>
                <w:sz w:val="24"/>
              </w:rPr>
              <w:sym w:font="Wingdings 2" w:char="0052"/>
            </w:r>
            <w:r>
              <w:rPr>
                <w:color w:val="auto"/>
                <w:sz w:val="24"/>
              </w:rPr>
              <w:t>新建（迁建）</w:t>
            </w:r>
          </w:p>
          <w:p>
            <w:pPr>
              <w:adjustRightInd w:val="0"/>
              <w:snapToGrid w:val="0"/>
              <w:ind w:firstLine="256" w:firstLineChars="100"/>
              <w:rPr>
                <w:color w:val="auto"/>
                <w:sz w:val="24"/>
              </w:rPr>
            </w:pPr>
            <w:r>
              <w:rPr>
                <w:color w:val="auto"/>
                <w:sz w:val="24"/>
              </w:rPr>
              <w:sym w:font="Wingdings 2" w:char="00A3"/>
            </w:r>
            <w:r>
              <w:rPr>
                <w:color w:val="auto"/>
                <w:sz w:val="24"/>
              </w:rPr>
              <w:t>改建</w:t>
            </w:r>
          </w:p>
          <w:p>
            <w:pPr>
              <w:adjustRightInd w:val="0"/>
              <w:snapToGrid w:val="0"/>
              <w:ind w:firstLine="256" w:firstLineChars="100"/>
              <w:rPr>
                <w:color w:val="auto"/>
                <w:sz w:val="24"/>
              </w:rPr>
            </w:pPr>
            <w:r>
              <w:rPr>
                <w:color w:val="auto"/>
                <w:sz w:val="24"/>
              </w:rPr>
              <w:sym w:font="Wingdings 2" w:char="00A3"/>
            </w:r>
            <w:r>
              <w:rPr>
                <w:color w:val="auto"/>
                <w:sz w:val="24"/>
              </w:rPr>
              <w:t>扩建</w:t>
            </w:r>
          </w:p>
          <w:p>
            <w:pPr>
              <w:adjustRightInd w:val="0"/>
              <w:snapToGrid w:val="0"/>
              <w:ind w:firstLine="256" w:firstLineChars="100"/>
              <w:rPr>
                <w:color w:val="auto"/>
                <w:sz w:val="24"/>
              </w:rPr>
            </w:pPr>
            <w:r>
              <w:rPr>
                <w:color w:val="auto"/>
                <w:sz w:val="24"/>
              </w:rPr>
              <w:sym w:font="Wingdings 2" w:char="00A3"/>
            </w:r>
            <w:r>
              <w:rPr>
                <w:color w:val="auto"/>
                <w:sz w:val="24"/>
              </w:rPr>
              <w:t>技术改造</w:t>
            </w:r>
          </w:p>
        </w:tc>
        <w:tc>
          <w:tcPr>
            <w:tcW w:w="1039" w:type="pct"/>
            <w:vAlign w:val="center"/>
          </w:tcPr>
          <w:p>
            <w:pPr>
              <w:adjustRightInd w:val="0"/>
              <w:snapToGrid w:val="0"/>
              <w:jc w:val="center"/>
              <w:rPr>
                <w:b/>
                <w:color w:val="auto"/>
                <w:sz w:val="24"/>
              </w:rPr>
            </w:pPr>
            <w:r>
              <w:rPr>
                <w:b/>
                <w:color w:val="auto"/>
                <w:sz w:val="24"/>
              </w:rPr>
              <w:t>建设项目</w:t>
            </w:r>
          </w:p>
          <w:p>
            <w:pPr>
              <w:adjustRightInd w:val="0"/>
              <w:snapToGrid w:val="0"/>
              <w:jc w:val="center"/>
              <w:rPr>
                <w:b/>
                <w:color w:val="auto"/>
                <w:sz w:val="24"/>
              </w:rPr>
            </w:pPr>
            <w:r>
              <w:rPr>
                <w:b/>
                <w:color w:val="auto"/>
                <w:sz w:val="24"/>
              </w:rPr>
              <w:t>申报情形</w:t>
            </w:r>
          </w:p>
        </w:tc>
        <w:tc>
          <w:tcPr>
            <w:tcW w:w="1883" w:type="pct"/>
            <w:vAlign w:val="center"/>
          </w:tcPr>
          <w:p>
            <w:pPr>
              <w:adjustRightInd w:val="0"/>
              <w:snapToGrid w:val="0"/>
              <w:ind w:firstLine="250" w:firstLineChars="98"/>
              <w:jc w:val="left"/>
              <w:rPr>
                <w:color w:val="auto"/>
                <w:sz w:val="24"/>
              </w:rPr>
            </w:pPr>
            <w:r>
              <w:rPr>
                <w:color w:val="auto"/>
                <w:sz w:val="24"/>
              </w:rPr>
              <w:sym w:font="Wingdings 2" w:char="0052"/>
            </w:r>
            <w:r>
              <w:rPr>
                <w:color w:val="auto"/>
                <w:sz w:val="24"/>
              </w:rPr>
              <w:t>首次申报项目</w:t>
            </w:r>
          </w:p>
          <w:p>
            <w:pPr>
              <w:adjustRightInd w:val="0"/>
              <w:snapToGrid w:val="0"/>
              <w:ind w:firstLine="250" w:firstLineChars="98"/>
              <w:jc w:val="left"/>
              <w:rPr>
                <w:color w:val="auto"/>
                <w:sz w:val="24"/>
              </w:rPr>
            </w:pPr>
            <w:r>
              <w:rPr>
                <w:color w:val="auto"/>
                <w:sz w:val="24"/>
              </w:rPr>
              <w:sym w:font="Wingdings 2" w:char="00A3"/>
            </w:r>
            <w:r>
              <w:rPr>
                <w:color w:val="auto"/>
                <w:sz w:val="24"/>
              </w:rPr>
              <w:t>不予批准后再次申报项目</w:t>
            </w:r>
          </w:p>
          <w:p>
            <w:pPr>
              <w:adjustRightInd w:val="0"/>
              <w:snapToGrid w:val="0"/>
              <w:ind w:firstLine="250" w:firstLineChars="98"/>
              <w:jc w:val="left"/>
              <w:rPr>
                <w:color w:val="auto"/>
                <w:sz w:val="24"/>
              </w:rPr>
            </w:pPr>
            <w:r>
              <w:rPr>
                <w:color w:val="auto"/>
                <w:sz w:val="24"/>
              </w:rPr>
              <w:sym w:font="Wingdings 2" w:char="00A3"/>
            </w:r>
            <w:r>
              <w:rPr>
                <w:color w:val="auto"/>
                <w:sz w:val="24"/>
              </w:rPr>
              <w:t>超五年重新审核项目</w:t>
            </w:r>
          </w:p>
          <w:p>
            <w:pPr>
              <w:adjustRightInd w:val="0"/>
              <w:snapToGrid w:val="0"/>
              <w:ind w:firstLine="250" w:firstLineChars="98"/>
              <w:jc w:val="left"/>
              <w:rPr>
                <w:color w:val="auto"/>
                <w:sz w:val="24"/>
              </w:rPr>
            </w:pPr>
            <w:r>
              <w:rPr>
                <w:color w:val="auto"/>
                <w:sz w:val="24"/>
              </w:rPr>
              <w:sym w:font="Wingdings 2" w:char="00A3"/>
            </w:r>
            <w:r>
              <w:rPr>
                <w:color w:val="auto"/>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007" w:type="pct"/>
            <w:gridSpan w:val="2"/>
            <w:tcMar>
              <w:top w:w="16" w:type="dxa"/>
              <w:left w:w="16" w:type="dxa"/>
              <w:right w:w="16" w:type="dxa"/>
            </w:tcMar>
            <w:vAlign w:val="center"/>
          </w:tcPr>
          <w:p>
            <w:pPr>
              <w:adjustRightInd w:val="0"/>
              <w:snapToGrid w:val="0"/>
              <w:jc w:val="center"/>
              <w:rPr>
                <w:b/>
                <w:bCs/>
                <w:color w:val="auto"/>
                <w:sz w:val="24"/>
              </w:rPr>
            </w:pPr>
            <w:r>
              <w:rPr>
                <w:b/>
                <w:bCs/>
                <w:color w:val="auto"/>
                <w:sz w:val="24"/>
              </w:rPr>
              <w:t>项目审批（核准/备案）部门</w:t>
            </w:r>
          </w:p>
        </w:tc>
        <w:tc>
          <w:tcPr>
            <w:tcW w:w="1070" w:type="pct"/>
            <w:vAlign w:val="center"/>
          </w:tcPr>
          <w:p>
            <w:pPr>
              <w:adjustRightInd w:val="0"/>
              <w:snapToGrid w:val="0"/>
              <w:jc w:val="center"/>
              <w:rPr>
                <w:rFonts w:hint="default" w:eastAsia="宋体"/>
                <w:color w:val="auto"/>
                <w:sz w:val="24"/>
                <w:lang w:val="en-US" w:eastAsia="zh-CN"/>
              </w:rPr>
            </w:pPr>
            <w:r>
              <w:rPr>
                <w:rFonts w:hint="eastAsia"/>
                <w:color w:val="auto"/>
                <w:sz w:val="24"/>
                <w:lang w:val="en-US" w:eastAsia="zh-CN"/>
              </w:rPr>
              <w:t>中宁县商务和投资促进局</w:t>
            </w:r>
          </w:p>
        </w:tc>
        <w:tc>
          <w:tcPr>
            <w:tcW w:w="1039" w:type="pct"/>
            <w:vAlign w:val="center"/>
          </w:tcPr>
          <w:p>
            <w:pPr>
              <w:adjustRightInd w:val="0"/>
              <w:snapToGrid w:val="0"/>
              <w:rPr>
                <w:b/>
                <w:color w:val="auto"/>
                <w:sz w:val="24"/>
              </w:rPr>
            </w:pPr>
            <w:r>
              <w:rPr>
                <w:b/>
                <w:color w:val="auto"/>
                <w:sz w:val="24"/>
              </w:rPr>
              <w:t>项目审批（核准/备案）文号</w:t>
            </w:r>
          </w:p>
        </w:tc>
        <w:tc>
          <w:tcPr>
            <w:tcW w:w="1883" w:type="pct"/>
            <w:vAlign w:val="center"/>
          </w:tcPr>
          <w:p>
            <w:pPr>
              <w:adjustRightInd w:val="0"/>
              <w:snapToGrid w:val="0"/>
              <w:jc w:val="center"/>
              <w:rPr>
                <w:rFonts w:hint="eastAsia" w:eastAsia="宋体"/>
                <w:color w:val="auto"/>
                <w:sz w:val="24"/>
                <w:lang w:eastAsia="zh-CN"/>
              </w:rPr>
            </w:pPr>
            <w:r>
              <w:rPr>
                <w:rFonts w:hint="eastAsia"/>
                <w:color w:val="auto"/>
                <w:sz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20" w:hRule="atLeast"/>
          <w:jc w:val="center"/>
        </w:trPr>
        <w:tc>
          <w:tcPr>
            <w:tcW w:w="1007" w:type="pct"/>
            <w:gridSpan w:val="2"/>
            <w:tcMar>
              <w:top w:w="16" w:type="dxa"/>
              <w:left w:w="16" w:type="dxa"/>
              <w:right w:w="16" w:type="dxa"/>
            </w:tcMar>
            <w:vAlign w:val="center"/>
          </w:tcPr>
          <w:p>
            <w:pPr>
              <w:adjustRightInd w:val="0"/>
              <w:snapToGrid w:val="0"/>
              <w:jc w:val="center"/>
              <w:rPr>
                <w:b/>
                <w:bCs/>
                <w:color w:val="auto"/>
                <w:sz w:val="24"/>
              </w:rPr>
            </w:pPr>
            <w:r>
              <w:rPr>
                <w:b/>
                <w:bCs/>
                <w:color w:val="auto"/>
                <w:sz w:val="24"/>
              </w:rPr>
              <w:t>总投资（万元）</w:t>
            </w:r>
          </w:p>
        </w:tc>
        <w:tc>
          <w:tcPr>
            <w:tcW w:w="1070" w:type="pct"/>
            <w:vAlign w:val="center"/>
          </w:tcPr>
          <w:p>
            <w:pPr>
              <w:adjustRightInd w:val="0"/>
              <w:snapToGrid w:val="0"/>
              <w:jc w:val="center"/>
              <w:rPr>
                <w:rFonts w:hint="default" w:eastAsia="宋体"/>
                <w:color w:val="auto"/>
                <w:sz w:val="24"/>
                <w:lang w:val="en-US" w:eastAsia="zh-CN"/>
              </w:rPr>
            </w:pPr>
            <w:r>
              <w:rPr>
                <w:rFonts w:hint="eastAsia"/>
                <w:color w:val="auto"/>
                <w:sz w:val="24"/>
                <w:lang w:val="en-US" w:eastAsia="zh-CN"/>
              </w:rPr>
              <w:t>1600</w:t>
            </w:r>
          </w:p>
        </w:tc>
        <w:tc>
          <w:tcPr>
            <w:tcW w:w="1039" w:type="pct"/>
            <w:tcMar>
              <w:top w:w="16" w:type="dxa"/>
              <w:left w:w="16" w:type="dxa"/>
              <w:right w:w="16" w:type="dxa"/>
            </w:tcMar>
            <w:vAlign w:val="center"/>
          </w:tcPr>
          <w:p>
            <w:pPr>
              <w:adjustRightInd w:val="0"/>
              <w:snapToGrid w:val="0"/>
              <w:jc w:val="center"/>
              <w:rPr>
                <w:b/>
                <w:color w:val="auto"/>
                <w:sz w:val="24"/>
              </w:rPr>
            </w:pPr>
            <w:r>
              <w:rPr>
                <w:b/>
                <w:color w:val="auto"/>
                <w:sz w:val="24"/>
              </w:rPr>
              <w:t>环保投资</w:t>
            </w:r>
          </w:p>
          <w:p>
            <w:pPr>
              <w:adjustRightInd w:val="0"/>
              <w:snapToGrid w:val="0"/>
              <w:jc w:val="center"/>
              <w:rPr>
                <w:b/>
                <w:color w:val="auto"/>
                <w:sz w:val="24"/>
              </w:rPr>
            </w:pPr>
            <w:r>
              <w:rPr>
                <w:b/>
                <w:color w:val="auto"/>
                <w:sz w:val="24"/>
              </w:rPr>
              <w:t>（万元）</w:t>
            </w:r>
          </w:p>
        </w:tc>
        <w:tc>
          <w:tcPr>
            <w:tcW w:w="1883" w:type="pct"/>
            <w:vAlign w:val="center"/>
          </w:tcPr>
          <w:p>
            <w:pPr>
              <w:adjustRightInd w:val="0"/>
              <w:snapToGrid w:val="0"/>
              <w:jc w:val="center"/>
              <w:rPr>
                <w:rFonts w:hint="default" w:eastAsia="宋体"/>
                <w:color w:val="auto"/>
                <w:sz w:val="24"/>
                <w:lang w:val="en-US" w:eastAsia="zh-CN"/>
              </w:rPr>
            </w:pPr>
            <w:r>
              <w:rPr>
                <w:rFonts w:hint="eastAsia"/>
                <w:color w:val="auto"/>
                <w:sz w:val="24"/>
                <w:lang w:val="en-US" w:eastAsia="zh-CN"/>
              </w:rPr>
              <w:t>98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09" w:hRule="atLeast"/>
          <w:jc w:val="center"/>
        </w:trPr>
        <w:tc>
          <w:tcPr>
            <w:tcW w:w="1007" w:type="pct"/>
            <w:gridSpan w:val="2"/>
            <w:tcMar>
              <w:top w:w="16" w:type="dxa"/>
              <w:left w:w="16" w:type="dxa"/>
              <w:right w:w="16" w:type="dxa"/>
            </w:tcMar>
            <w:vAlign w:val="center"/>
          </w:tcPr>
          <w:p>
            <w:pPr>
              <w:adjustRightInd w:val="0"/>
              <w:snapToGrid w:val="0"/>
              <w:jc w:val="center"/>
              <w:rPr>
                <w:b/>
                <w:bCs/>
                <w:color w:val="auto"/>
                <w:sz w:val="24"/>
              </w:rPr>
            </w:pPr>
            <w:r>
              <w:rPr>
                <w:b/>
                <w:bCs/>
                <w:color w:val="auto"/>
                <w:sz w:val="24"/>
              </w:rPr>
              <w:t>环保投资占比（%）</w:t>
            </w:r>
          </w:p>
        </w:tc>
        <w:tc>
          <w:tcPr>
            <w:tcW w:w="1070" w:type="pct"/>
            <w:vAlign w:val="center"/>
          </w:tcPr>
          <w:p>
            <w:pPr>
              <w:adjustRightInd w:val="0"/>
              <w:snapToGrid w:val="0"/>
              <w:jc w:val="center"/>
              <w:rPr>
                <w:rFonts w:hint="default" w:eastAsia="宋体"/>
                <w:color w:val="auto"/>
                <w:sz w:val="24"/>
                <w:lang w:val="en-US" w:eastAsia="zh-CN"/>
              </w:rPr>
            </w:pPr>
            <w:r>
              <w:rPr>
                <w:rFonts w:hint="eastAsia"/>
                <w:color w:val="auto"/>
                <w:sz w:val="24"/>
                <w:lang w:val="en-US" w:eastAsia="zh-CN"/>
              </w:rPr>
              <w:t>6.13%</w:t>
            </w:r>
          </w:p>
        </w:tc>
        <w:tc>
          <w:tcPr>
            <w:tcW w:w="1039" w:type="pct"/>
            <w:tcMar>
              <w:top w:w="16" w:type="dxa"/>
              <w:left w:w="16" w:type="dxa"/>
              <w:right w:w="16" w:type="dxa"/>
            </w:tcMar>
            <w:vAlign w:val="center"/>
          </w:tcPr>
          <w:p>
            <w:pPr>
              <w:adjustRightInd w:val="0"/>
              <w:snapToGrid w:val="0"/>
              <w:jc w:val="center"/>
              <w:rPr>
                <w:b/>
                <w:color w:val="auto"/>
                <w:sz w:val="24"/>
              </w:rPr>
            </w:pPr>
            <w:r>
              <w:rPr>
                <w:b/>
                <w:color w:val="auto"/>
                <w:sz w:val="24"/>
              </w:rPr>
              <w:t>施工工期</w:t>
            </w:r>
          </w:p>
        </w:tc>
        <w:tc>
          <w:tcPr>
            <w:tcW w:w="1883" w:type="pct"/>
            <w:vAlign w:val="center"/>
          </w:tcPr>
          <w:p>
            <w:pPr>
              <w:adjustRightInd w:val="0"/>
              <w:snapToGrid w:val="0"/>
              <w:jc w:val="center"/>
              <w:rPr>
                <w:color w:val="auto"/>
                <w:sz w:val="24"/>
              </w:rPr>
            </w:pPr>
            <w:r>
              <w:rPr>
                <w:rFonts w:hint="eastAsia"/>
                <w:color w:val="auto"/>
                <w:sz w:val="24"/>
                <w:lang w:val="en-US" w:eastAsia="zh-CN"/>
              </w:rPr>
              <w:t>5</w:t>
            </w:r>
            <w:r>
              <w:rPr>
                <w:rFonts w:hint="eastAsia"/>
                <w:color w:val="auto"/>
                <w:sz w:val="24"/>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07" w:type="pct"/>
            <w:gridSpan w:val="2"/>
            <w:tcMar>
              <w:top w:w="16" w:type="dxa"/>
              <w:left w:w="16" w:type="dxa"/>
              <w:right w:w="16" w:type="dxa"/>
            </w:tcMar>
            <w:vAlign w:val="center"/>
          </w:tcPr>
          <w:p>
            <w:pPr>
              <w:adjustRightInd w:val="0"/>
              <w:snapToGrid w:val="0"/>
              <w:jc w:val="center"/>
              <w:rPr>
                <w:b/>
                <w:bCs/>
                <w:color w:val="auto"/>
                <w:sz w:val="24"/>
              </w:rPr>
            </w:pPr>
            <w:r>
              <w:rPr>
                <w:b/>
                <w:bCs/>
                <w:color w:val="auto"/>
                <w:sz w:val="24"/>
              </w:rPr>
              <w:t>是否开工建设</w:t>
            </w:r>
          </w:p>
        </w:tc>
        <w:tc>
          <w:tcPr>
            <w:tcW w:w="1070" w:type="pct"/>
            <w:vAlign w:val="center"/>
          </w:tcPr>
          <w:p>
            <w:pPr>
              <w:adjustRightInd w:val="0"/>
              <w:snapToGrid w:val="0"/>
              <w:rPr>
                <w:rFonts w:hint="eastAsia" w:eastAsia="宋体"/>
                <w:color w:val="auto"/>
                <w:sz w:val="24"/>
                <w:lang w:eastAsia="zh-CN"/>
              </w:rPr>
            </w:pPr>
            <w:r>
              <w:rPr>
                <w:color w:val="auto"/>
                <w:sz w:val="24"/>
              </w:rPr>
              <w:sym w:font="Wingdings 2" w:char="0052"/>
            </w:r>
            <w:r>
              <w:rPr>
                <w:color w:val="auto"/>
                <w:sz w:val="24"/>
              </w:rPr>
              <w:t>否</w:t>
            </w:r>
          </w:p>
          <w:p>
            <w:pPr>
              <w:adjustRightInd w:val="0"/>
              <w:snapToGrid w:val="0"/>
              <w:jc w:val="both"/>
              <w:rPr>
                <w:color w:val="auto"/>
                <w:sz w:val="24"/>
              </w:rPr>
            </w:pPr>
            <w:r>
              <w:rPr>
                <w:color w:val="auto"/>
                <w:sz w:val="24"/>
              </w:rPr>
              <w:sym w:font="Wingdings 2" w:char="00A3"/>
            </w:r>
            <w:r>
              <w:rPr>
                <w:color w:val="auto"/>
                <w:sz w:val="24"/>
              </w:rPr>
              <w:t>是：</w:t>
            </w:r>
          </w:p>
        </w:tc>
        <w:tc>
          <w:tcPr>
            <w:tcW w:w="1039" w:type="pct"/>
            <w:tcMar>
              <w:top w:w="16" w:type="dxa"/>
              <w:left w:w="16" w:type="dxa"/>
              <w:right w:w="16" w:type="dxa"/>
            </w:tcMar>
            <w:vAlign w:val="center"/>
          </w:tcPr>
          <w:p>
            <w:pPr>
              <w:adjustRightInd w:val="0"/>
              <w:snapToGrid w:val="0"/>
              <w:jc w:val="center"/>
              <w:rPr>
                <w:b/>
                <w:color w:val="auto"/>
                <w:spacing w:val="-6"/>
                <w:sz w:val="24"/>
              </w:rPr>
            </w:pPr>
            <w:r>
              <w:rPr>
                <w:b/>
                <w:color w:val="auto"/>
                <w:spacing w:val="-6"/>
                <w:sz w:val="24"/>
              </w:rPr>
              <w:t>用地（用海）</w:t>
            </w:r>
          </w:p>
          <w:p>
            <w:pPr>
              <w:adjustRightInd w:val="0"/>
              <w:snapToGrid w:val="0"/>
              <w:jc w:val="center"/>
              <w:rPr>
                <w:b/>
                <w:color w:val="auto"/>
                <w:spacing w:val="-6"/>
                <w:sz w:val="24"/>
              </w:rPr>
            </w:pPr>
            <w:r>
              <w:rPr>
                <w:b/>
                <w:color w:val="auto"/>
                <w:spacing w:val="-6"/>
                <w:sz w:val="24"/>
              </w:rPr>
              <w:t>面积（m²）</w:t>
            </w:r>
          </w:p>
        </w:tc>
        <w:tc>
          <w:tcPr>
            <w:tcW w:w="1883" w:type="pct"/>
            <w:vAlign w:val="center"/>
          </w:tcPr>
          <w:p>
            <w:pPr>
              <w:adjustRightInd w:val="0"/>
              <w:snapToGrid w:val="0"/>
              <w:jc w:val="center"/>
              <w:rPr>
                <w:rFonts w:hint="default" w:eastAsia="宋体"/>
                <w:color w:val="auto"/>
                <w:sz w:val="24"/>
                <w:lang w:val="en-US" w:eastAsia="zh-CN"/>
              </w:rPr>
            </w:pPr>
            <w:r>
              <w:rPr>
                <w:rFonts w:hint="eastAsia"/>
                <w:color w:val="auto"/>
                <w:sz w:val="24"/>
                <w:lang w:val="en-US" w:eastAsia="zh-CN"/>
              </w:rPr>
              <w:t>1.4万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007" w:type="pct"/>
            <w:gridSpan w:val="2"/>
            <w:vAlign w:val="center"/>
          </w:tcPr>
          <w:p>
            <w:pPr>
              <w:autoSpaceDE w:val="0"/>
              <w:autoSpaceDN w:val="0"/>
              <w:adjustRightInd w:val="0"/>
              <w:snapToGrid w:val="0"/>
              <w:jc w:val="center"/>
              <w:rPr>
                <w:b/>
                <w:bCs/>
                <w:color w:val="auto"/>
                <w:kern w:val="0"/>
                <w:sz w:val="24"/>
              </w:rPr>
            </w:pPr>
            <w:r>
              <w:rPr>
                <w:b/>
                <w:bCs/>
                <w:color w:val="auto"/>
                <w:kern w:val="0"/>
                <w:sz w:val="24"/>
              </w:rPr>
              <w:t>专项评价</w:t>
            </w:r>
          </w:p>
          <w:p>
            <w:pPr>
              <w:autoSpaceDE w:val="0"/>
              <w:autoSpaceDN w:val="0"/>
              <w:adjustRightInd w:val="0"/>
              <w:snapToGrid w:val="0"/>
              <w:jc w:val="center"/>
              <w:rPr>
                <w:b/>
                <w:bCs/>
                <w:color w:val="auto"/>
                <w:kern w:val="0"/>
                <w:sz w:val="24"/>
              </w:rPr>
            </w:pPr>
            <w:r>
              <w:rPr>
                <w:b/>
                <w:bCs/>
                <w:color w:val="auto"/>
                <w:kern w:val="0"/>
                <w:sz w:val="24"/>
              </w:rPr>
              <w:t>设置情况</w:t>
            </w:r>
          </w:p>
        </w:tc>
        <w:tc>
          <w:tcPr>
            <w:tcW w:w="3992" w:type="pct"/>
            <w:gridSpan w:val="3"/>
            <w:vAlign w:val="center"/>
          </w:tcPr>
          <w:p>
            <w:pPr>
              <w:pStyle w:val="32"/>
              <w:jc w:val="center"/>
              <w:rPr>
                <w:rFonts w:hint="default"/>
                <w:color w:val="auto"/>
                <w:lang w:val="en-US" w:eastAsia="zh-CN"/>
              </w:rPr>
            </w:pPr>
            <w:r>
              <w:rPr>
                <w:rFonts w:hint="eastAsia" w:ascii="Times New Roman" w:hAnsi="Times New Roman" w:eastAsia="宋体" w:cs="Times New Roman"/>
                <w:color w:val="auto"/>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1007" w:type="pct"/>
            <w:gridSpan w:val="2"/>
            <w:vAlign w:val="center"/>
          </w:tcPr>
          <w:p>
            <w:pPr>
              <w:autoSpaceDE w:val="0"/>
              <w:autoSpaceDN w:val="0"/>
              <w:adjustRightInd w:val="0"/>
              <w:snapToGrid w:val="0"/>
              <w:jc w:val="center"/>
              <w:rPr>
                <w:b/>
                <w:bCs/>
                <w:color w:val="auto"/>
                <w:sz w:val="24"/>
              </w:rPr>
            </w:pPr>
            <w:r>
              <w:rPr>
                <w:b/>
                <w:bCs/>
                <w:color w:val="auto"/>
                <w:sz w:val="24"/>
              </w:rPr>
              <w:t>规划</w:t>
            </w:r>
          </w:p>
          <w:p>
            <w:pPr>
              <w:autoSpaceDE w:val="0"/>
              <w:autoSpaceDN w:val="0"/>
              <w:adjustRightInd w:val="0"/>
              <w:snapToGrid w:val="0"/>
              <w:jc w:val="center"/>
              <w:rPr>
                <w:b/>
                <w:bCs/>
                <w:color w:val="auto"/>
                <w:kern w:val="0"/>
                <w:sz w:val="24"/>
              </w:rPr>
            </w:pPr>
            <w:r>
              <w:rPr>
                <w:b/>
                <w:bCs/>
                <w:color w:val="auto"/>
                <w:sz w:val="24"/>
              </w:rPr>
              <w:t>情况</w:t>
            </w:r>
          </w:p>
        </w:tc>
        <w:tc>
          <w:tcPr>
            <w:tcW w:w="3992" w:type="pct"/>
            <w:gridSpan w:val="3"/>
            <w:vAlign w:val="center"/>
          </w:tcPr>
          <w:p>
            <w:pPr>
              <w:pStyle w:val="43"/>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rPr>
            </w:pPr>
            <w:r>
              <w:rPr>
                <w:color w:val="auto"/>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007" w:type="pct"/>
            <w:gridSpan w:val="2"/>
            <w:vAlign w:val="center"/>
          </w:tcPr>
          <w:p>
            <w:pPr>
              <w:adjustRightInd w:val="0"/>
              <w:snapToGrid w:val="0"/>
              <w:jc w:val="center"/>
              <w:rPr>
                <w:b/>
                <w:bCs/>
                <w:color w:val="auto"/>
                <w:kern w:val="0"/>
                <w:sz w:val="24"/>
              </w:rPr>
            </w:pPr>
            <w:r>
              <w:rPr>
                <w:b/>
                <w:bCs/>
                <w:color w:val="auto"/>
                <w:sz w:val="24"/>
              </w:rPr>
              <w:t>规划环境影响评价情况</w:t>
            </w:r>
          </w:p>
        </w:tc>
        <w:tc>
          <w:tcPr>
            <w:tcW w:w="3992" w:type="pct"/>
            <w:gridSpan w:val="3"/>
            <w:vAlign w:val="center"/>
          </w:tcPr>
          <w:p>
            <w:pPr>
              <w:pStyle w:val="43"/>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rPr>
            </w:pPr>
            <w:r>
              <w:rPr>
                <w:color w:val="auto"/>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5" w:hRule="atLeast"/>
          <w:jc w:val="center"/>
        </w:trPr>
        <w:tc>
          <w:tcPr>
            <w:tcW w:w="1007" w:type="pct"/>
            <w:gridSpan w:val="2"/>
            <w:vAlign w:val="center"/>
          </w:tcPr>
          <w:p>
            <w:pPr>
              <w:autoSpaceDE w:val="0"/>
              <w:autoSpaceDN w:val="0"/>
              <w:adjustRightInd w:val="0"/>
              <w:snapToGrid w:val="0"/>
              <w:jc w:val="center"/>
              <w:rPr>
                <w:b/>
                <w:bCs/>
                <w:color w:val="auto"/>
                <w:kern w:val="0"/>
                <w:sz w:val="24"/>
              </w:rPr>
            </w:pPr>
            <w:r>
              <w:rPr>
                <w:b/>
                <w:bCs/>
                <w:color w:val="auto"/>
                <w:kern w:val="0"/>
                <w:sz w:val="24"/>
              </w:rPr>
              <w:t>规划及规划环境影响评价符合性分析</w:t>
            </w:r>
          </w:p>
        </w:tc>
        <w:tc>
          <w:tcPr>
            <w:tcW w:w="3992" w:type="pct"/>
            <w:gridSpan w:val="3"/>
            <w:vAlign w:val="center"/>
          </w:tcPr>
          <w:p>
            <w:pPr>
              <w:pStyle w:val="43"/>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kern w:val="0"/>
              </w:rPr>
            </w:pPr>
            <w:r>
              <w:rPr>
                <w:color w:val="auto"/>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5" w:type="pct"/>
            <w:vAlign w:val="center"/>
          </w:tcPr>
          <w:p>
            <w:pPr>
              <w:autoSpaceDE w:val="0"/>
              <w:autoSpaceDN w:val="0"/>
              <w:adjustRightInd w:val="0"/>
              <w:snapToGrid w:val="0"/>
              <w:jc w:val="center"/>
              <w:rPr>
                <w:color w:val="auto"/>
                <w:kern w:val="0"/>
                <w:szCs w:val="21"/>
              </w:rPr>
            </w:pPr>
            <w:r>
              <w:rPr>
                <w:b/>
                <w:bCs/>
                <w:color w:val="auto"/>
                <w:kern w:val="0"/>
                <w:sz w:val="24"/>
                <w:szCs w:val="21"/>
              </w:rPr>
              <w:t>其他符合性分析</w:t>
            </w:r>
          </w:p>
        </w:tc>
        <w:tc>
          <w:tcPr>
            <w:tcW w:w="4644" w:type="pct"/>
            <w:gridSpan w:val="4"/>
            <w:vAlign w:val="center"/>
          </w:tcPr>
          <w:p>
            <w:pPr>
              <w:pStyle w:val="6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1、“三线一单”符合性分析</w:t>
            </w:r>
          </w:p>
          <w:p>
            <w:pPr>
              <w:pStyle w:val="62"/>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default" w:ascii="Times New Roman" w:hAnsi="Times New Roman" w:eastAsia="宋体" w:cs="Times New Roman"/>
                <w:b w:val="0"/>
                <w:color w:val="auto"/>
                <w:sz w:val="24"/>
                <w:szCs w:val="24"/>
                <w:lang w:val="en-US" w:eastAsia="zh-CN"/>
              </w:rPr>
            </w:pPr>
            <w:r>
              <w:rPr>
                <w:rFonts w:hint="default" w:ascii="Times New Roman" w:hAnsi="Times New Roman" w:eastAsia="宋体" w:cs="Times New Roman"/>
                <w:b/>
                <w:bCs/>
                <w:color w:val="auto"/>
                <w:sz w:val="24"/>
                <w:szCs w:val="24"/>
                <w:lang w:val="en-US" w:eastAsia="zh-CN"/>
              </w:rPr>
              <w:t>①生态保护红线：</w:t>
            </w:r>
            <w:r>
              <w:rPr>
                <w:rFonts w:hint="default" w:ascii="Times New Roman" w:hAnsi="Times New Roman" w:eastAsia="宋体" w:cs="Times New Roman"/>
                <w:b w:val="0"/>
                <w:color w:val="auto"/>
                <w:sz w:val="24"/>
                <w:szCs w:val="24"/>
                <w:lang w:val="en-US" w:eastAsia="zh-CN"/>
              </w:rPr>
              <w:t>本项目位于</w:t>
            </w:r>
            <w:r>
              <w:rPr>
                <w:rFonts w:hint="eastAsia" w:cs="Times New Roman"/>
                <w:b w:val="0"/>
                <w:color w:val="auto"/>
                <w:sz w:val="24"/>
                <w:szCs w:val="24"/>
                <w:lang w:val="en-US" w:eastAsia="zh-CN"/>
              </w:rPr>
              <w:t>新堡镇新堡村G109复线与S101线交叉口东南侧300m处，</w:t>
            </w:r>
            <w:r>
              <w:rPr>
                <w:rFonts w:hint="default" w:ascii="Times New Roman" w:hAnsi="Times New Roman" w:eastAsia="宋体" w:cs="Times New Roman"/>
                <w:b w:val="0"/>
                <w:color w:val="auto"/>
                <w:sz w:val="24"/>
                <w:szCs w:val="24"/>
                <w:lang w:val="en-US" w:eastAsia="zh-CN"/>
              </w:rPr>
              <w:t>根据中卫市人民政府，卫政发</w:t>
            </w:r>
            <w:r>
              <w:rPr>
                <w:rFonts w:hint="eastAsia" w:ascii="微软雅黑" w:hAnsi="微软雅黑" w:eastAsia="微软雅黑" w:cs="微软雅黑"/>
                <w:b w:val="0"/>
                <w:color w:val="auto"/>
                <w:sz w:val="24"/>
                <w:szCs w:val="24"/>
                <w:lang w:val="en-US" w:eastAsia="zh-CN"/>
              </w:rPr>
              <w:t>〔</w:t>
            </w:r>
            <w:r>
              <w:rPr>
                <w:rFonts w:hint="default" w:ascii="Times New Roman" w:hAnsi="Times New Roman" w:eastAsia="宋体" w:cs="Times New Roman"/>
                <w:b w:val="0"/>
                <w:color w:val="auto"/>
                <w:sz w:val="24"/>
                <w:szCs w:val="24"/>
                <w:lang w:val="en-US" w:eastAsia="zh-CN"/>
              </w:rPr>
              <w:t>2021</w:t>
            </w:r>
            <w:r>
              <w:rPr>
                <w:rFonts w:hint="eastAsia" w:ascii="微软雅黑" w:hAnsi="微软雅黑" w:eastAsia="微软雅黑" w:cs="微软雅黑"/>
                <w:b w:val="0"/>
                <w:color w:val="auto"/>
                <w:sz w:val="24"/>
                <w:szCs w:val="24"/>
                <w:lang w:val="en-US" w:eastAsia="zh-CN"/>
              </w:rPr>
              <w:t>〕</w:t>
            </w:r>
            <w:r>
              <w:rPr>
                <w:rFonts w:hint="default" w:ascii="Times New Roman" w:hAnsi="Times New Roman" w:eastAsia="宋体" w:cs="Times New Roman"/>
                <w:b w:val="0"/>
                <w:color w:val="auto"/>
                <w:sz w:val="24"/>
                <w:szCs w:val="24"/>
                <w:lang w:val="en-US" w:eastAsia="zh-CN"/>
              </w:rPr>
              <w:t>31号关于发布《中卫市人民政府关于实施“三线一单”生态环境分区管控的通知》，本项目不在中卫市划定的生态保护红线范围内。</w:t>
            </w:r>
          </w:p>
          <w:p>
            <w:pPr>
              <w:pStyle w:val="62"/>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default" w:ascii="Times New Roman" w:hAnsi="Times New Roman" w:eastAsia="宋体" w:cs="Times New Roman"/>
                <w:b w:val="0"/>
                <w:color w:val="auto"/>
                <w:sz w:val="24"/>
                <w:szCs w:val="24"/>
                <w:lang w:val="en-US" w:eastAsia="zh-CN"/>
              </w:rPr>
            </w:pPr>
            <w:r>
              <w:rPr>
                <w:rFonts w:hint="default" w:ascii="Times New Roman" w:hAnsi="Times New Roman" w:eastAsia="宋体" w:cs="Times New Roman"/>
                <w:b w:val="0"/>
                <w:color w:val="auto"/>
                <w:sz w:val="24"/>
                <w:szCs w:val="24"/>
                <w:lang w:val="en-US" w:eastAsia="zh-CN"/>
              </w:rPr>
              <w:t>本项目与生态保护红线的位置关系见附图1。</w:t>
            </w:r>
          </w:p>
          <w:p>
            <w:pPr>
              <w:keepNext w:val="0"/>
              <w:keepLines w:val="0"/>
              <w:pageBreakBefore w:val="0"/>
              <w:widowControl/>
              <w:suppressLineNumbers w:val="0"/>
              <w:kinsoku/>
              <w:wordWrap/>
              <w:overflowPunct/>
              <w:topLinePunct w:val="0"/>
              <w:autoSpaceDE/>
              <w:autoSpaceDN/>
              <w:bidi w:val="0"/>
              <w:adjustRightInd/>
              <w:snapToGrid/>
              <w:ind w:firstLine="512" w:firstLineChars="200"/>
              <w:jc w:val="left"/>
              <w:textAlignment w:val="auto"/>
              <w:rPr>
                <w:rFonts w:hint="eastAsia"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b/>
                <w:bCs/>
                <w:color w:val="auto"/>
                <w:sz w:val="24"/>
                <w:szCs w:val="24"/>
              </w:rPr>
              <w:t>②资源利用上线：</w:t>
            </w:r>
            <w:r>
              <w:rPr>
                <w:rFonts w:hint="default" w:ascii="Times New Roman" w:hAnsi="Times New Roman" w:eastAsia="宋体" w:cs="Times New Roman"/>
                <w:color w:val="auto"/>
                <w:kern w:val="0"/>
                <w:sz w:val="24"/>
                <w:szCs w:val="24"/>
                <w:lang w:val="en-US" w:eastAsia="zh-CN" w:bidi="ar"/>
              </w:rPr>
              <w:t>本项目属于F5265机动车燃油零售行业，主要能源消耗为水、电，且主要为生活用水，因此项目不触及资源利用上线</w:t>
            </w:r>
            <w:r>
              <w:rPr>
                <w:rFonts w:hint="eastAsia" w:ascii="Times New Roman" w:hAnsi="Times New Roman" w:eastAsia="宋体" w:cs="Times New Roman"/>
                <w:color w:val="auto"/>
                <w:kern w:val="0"/>
                <w:sz w:val="24"/>
                <w:szCs w:val="24"/>
                <w:lang w:val="en-US" w:eastAsia="zh-CN" w:bidi="ar"/>
              </w:rPr>
              <w:t>。</w:t>
            </w:r>
          </w:p>
          <w:p>
            <w:pPr>
              <w:pStyle w:val="32"/>
              <w:ind w:firstLine="512" w:firstLineChars="200"/>
              <w:jc w:val="left"/>
              <w:rPr>
                <w:rFonts w:hint="eastAsia" w:ascii="宋体" w:hAnsi="宋体" w:eastAsia="宋体" w:cs="宋体"/>
                <w:b/>
                <w:bCs/>
                <w:color w:val="auto"/>
                <w:sz w:val="24"/>
                <w:szCs w:val="24"/>
                <w:lang w:eastAsia="zh-CN"/>
              </w:rPr>
            </w:pPr>
            <w:r>
              <w:rPr>
                <w:rFonts w:ascii="宋体" w:hAnsi="宋体" w:eastAsia="宋体" w:cs="宋体"/>
                <w:b/>
                <w:bCs/>
                <w:color w:val="auto"/>
                <w:sz w:val="24"/>
                <w:szCs w:val="24"/>
              </w:rPr>
              <w:t>③环境质量底线</w:t>
            </w:r>
            <w:r>
              <w:rPr>
                <w:rFonts w:hint="eastAsia" w:ascii="宋体" w:hAnsi="宋体" w:eastAsia="宋体" w:cs="宋体"/>
                <w:b/>
                <w:bCs/>
                <w:color w:val="auto"/>
                <w:sz w:val="24"/>
                <w:szCs w:val="24"/>
                <w:lang w:eastAsia="zh-CN"/>
              </w:rPr>
              <w:t>：</w:t>
            </w:r>
          </w:p>
          <w:p>
            <w:pPr>
              <w:keepNext w:val="0"/>
              <w:keepLines w:val="0"/>
              <w:widowControl/>
              <w:suppressLineNumbers w:val="0"/>
              <w:ind w:firstLine="452" w:firstLineChars="200"/>
              <w:jc w:val="left"/>
              <w:rPr>
                <w:rFonts w:hint="default"/>
                <w:color w:val="auto"/>
                <w:lang w:val="en-US" w:eastAsia="zh-CN"/>
              </w:rPr>
            </w:pPr>
            <w:r>
              <w:rPr>
                <w:rFonts w:hint="eastAsia"/>
                <w:color w:val="auto"/>
                <w:lang w:val="en-US" w:eastAsia="zh-CN"/>
              </w:rPr>
              <w:t>A、</w:t>
            </w:r>
            <w:r>
              <w:rPr>
                <w:rFonts w:ascii="宋体" w:hAnsi="宋体" w:eastAsia="宋体" w:cs="宋体"/>
                <w:color w:val="auto"/>
                <w:sz w:val="24"/>
                <w:szCs w:val="24"/>
              </w:rPr>
              <w:t>水环境质量底线：</w:t>
            </w:r>
            <w:r>
              <w:rPr>
                <w:rFonts w:hint="eastAsia" w:ascii="宋体" w:hAnsi="宋体" w:eastAsia="宋体" w:cs="宋体"/>
                <w:color w:val="auto"/>
                <w:sz w:val="24"/>
                <w:szCs w:val="24"/>
                <w:lang w:val="en-US" w:eastAsia="zh-CN"/>
              </w:rPr>
              <w:t>项目无生产废水产生，生活污水经化粪池处理后清掏堆肥，不外排</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因此不触及环境质量底线。</w:t>
            </w:r>
          </w:p>
          <w:p>
            <w:pPr>
              <w:pStyle w:val="62"/>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Times New Roman" w:hAnsi="Times New Roman" w:eastAsia="宋体" w:cs="Times New Roman"/>
                <w:b w:val="0"/>
                <w:color w:val="auto"/>
                <w:sz w:val="24"/>
                <w:szCs w:val="24"/>
                <w:lang w:val="en-US" w:eastAsia="zh-CN"/>
              </w:rPr>
            </w:pPr>
            <w:r>
              <w:rPr>
                <w:rFonts w:hint="eastAsia" w:ascii="Times New Roman" w:hAnsi="Times New Roman" w:eastAsia="宋体" w:cs="Times New Roman"/>
                <w:b w:val="0"/>
                <w:color w:val="auto"/>
                <w:sz w:val="24"/>
                <w:szCs w:val="24"/>
                <w:lang w:val="en-US" w:eastAsia="zh-CN"/>
              </w:rPr>
              <w:t>B、大气环境质量底线：根据《中卫市人民政府关于实施“三线一单”生态环境分区管控的通知》(卫政发[2021]31号)文件要求，全市共划分优先保护、重点管控、一般管控等三类49个环境管控单元。</w:t>
            </w:r>
          </w:p>
          <w:p>
            <w:pPr>
              <w:pStyle w:val="62"/>
              <w:keepNext w:val="0"/>
              <w:keepLines w:val="0"/>
              <w:pageBreakBefore w:val="0"/>
              <w:widowControl w:val="0"/>
              <w:kinsoku/>
              <w:wordWrap/>
              <w:overflowPunct/>
              <w:topLinePunct w:val="0"/>
              <w:autoSpaceDE/>
              <w:autoSpaceDN/>
              <w:bidi w:val="0"/>
              <w:adjustRightInd/>
              <w:snapToGrid/>
              <w:spacing w:line="240" w:lineRule="auto"/>
              <w:ind w:left="0" w:leftChars="0" w:firstLine="512" w:firstLineChars="200"/>
              <w:textAlignment w:val="auto"/>
              <w:rPr>
                <w:rFonts w:hint="eastAsia" w:ascii="Times New Roman" w:hAnsi="Times New Roman" w:eastAsia="宋体" w:cs="Times New Roman"/>
                <w:b w:val="0"/>
                <w:color w:val="auto"/>
                <w:sz w:val="24"/>
                <w:szCs w:val="24"/>
                <w:lang w:val="en-US" w:eastAsia="zh-CN"/>
              </w:rPr>
            </w:pPr>
            <w:r>
              <w:rPr>
                <w:rFonts w:hint="eastAsia" w:ascii="Times New Roman" w:hAnsi="Times New Roman" w:eastAsia="宋体" w:cs="Times New Roman"/>
                <w:b w:val="0"/>
                <w:color w:val="auto"/>
                <w:sz w:val="24"/>
                <w:szCs w:val="24"/>
                <w:lang w:val="en-US" w:eastAsia="zh-CN"/>
              </w:rPr>
              <w:t>优先保护单元主要包括生态保护红线、自然保护地、饮用水水源保护区、环境空气质量一类功能区等25个区域，面积为6103.96平方公里，占全市总面积的44.71%；优先保护单元以生态环境保护优先为原则，突出空间用途管控，依法禁止或限制大规模、高强度的开发建设活动，确保生态环境功能不降低。</w:t>
            </w:r>
          </w:p>
          <w:p>
            <w:pPr>
              <w:pStyle w:val="62"/>
              <w:keepNext w:val="0"/>
              <w:keepLines w:val="0"/>
              <w:pageBreakBefore w:val="0"/>
              <w:widowControl w:val="0"/>
              <w:kinsoku/>
              <w:wordWrap/>
              <w:overflowPunct/>
              <w:topLinePunct w:val="0"/>
              <w:autoSpaceDE/>
              <w:autoSpaceDN/>
              <w:bidi w:val="0"/>
              <w:adjustRightInd/>
              <w:snapToGrid/>
              <w:spacing w:line="240" w:lineRule="auto"/>
              <w:ind w:left="0" w:leftChars="0" w:firstLine="512" w:firstLineChars="200"/>
              <w:textAlignment w:val="auto"/>
              <w:rPr>
                <w:rFonts w:hint="eastAsia" w:ascii="Times New Roman" w:hAnsi="Times New Roman" w:eastAsia="宋体" w:cs="Times New Roman"/>
                <w:b w:val="0"/>
                <w:color w:val="auto"/>
                <w:sz w:val="24"/>
                <w:szCs w:val="24"/>
                <w:lang w:val="en-US" w:eastAsia="zh-CN"/>
              </w:rPr>
            </w:pPr>
            <w:r>
              <w:rPr>
                <w:rFonts w:hint="eastAsia" w:ascii="Times New Roman" w:hAnsi="Times New Roman" w:eastAsia="宋体" w:cs="Times New Roman"/>
                <w:b w:val="0"/>
                <w:color w:val="auto"/>
                <w:sz w:val="24"/>
                <w:szCs w:val="24"/>
                <w:lang w:val="en-US" w:eastAsia="zh-CN"/>
              </w:rPr>
              <w:t>重点管控单元主要涉及城镇和工业园区等人口密集、资源开发强度大且污染物排放强度高的12个区域，面积为945.59平方公里，占全市总面积的6.93%；重点管控单元以优化空间和产业布局、强化底线约束为导向，突出污染物排放控制和环境风险防控，不断提升资源利用效率，稳步改善生态环境质量。</w:t>
            </w:r>
          </w:p>
          <w:p>
            <w:pPr>
              <w:pStyle w:val="62"/>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Times New Roman" w:hAnsi="Times New Roman" w:eastAsia="宋体" w:cs="Times New Roman"/>
                <w:b w:val="0"/>
                <w:color w:val="auto"/>
                <w:sz w:val="24"/>
                <w:szCs w:val="24"/>
                <w:lang w:val="en-US" w:eastAsia="zh-CN"/>
              </w:rPr>
            </w:pPr>
            <w:r>
              <w:rPr>
                <w:rFonts w:hint="eastAsia" w:ascii="Times New Roman" w:hAnsi="Times New Roman" w:eastAsia="宋体" w:cs="Times New Roman"/>
                <w:b w:val="0"/>
                <w:color w:val="auto"/>
                <w:sz w:val="24"/>
                <w:szCs w:val="24"/>
                <w:lang w:val="en-US" w:eastAsia="zh-CN"/>
              </w:rPr>
              <w:t>一般管控单元为除优先保护单元和重点管控单元之外的其他12个区域，面积为6601.82平方公里，占全市总面积的48.36%；一般管控单元以生态环境保护与适度开发相结合为主，落实区域生态环境保护的基本要求。</w:t>
            </w:r>
          </w:p>
          <w:p>
            <w:pPr>
              <w:keepNext w:val="0"/>
              <w:keepLines w:val="0"/>
              <w:widowControl/>
              <w:suppressLineNumbers w:val="0"/>
              <w:ind w:firstLine="512" w:firstLineChars="200"/>
              <w:jc w:val="left"/>
              <w:rPr>
                <w:rFonts w:hint="eastAsia" w:ascii="宋体" w:hAnsi="宋体" w:eastAsia="宋体" w:cs="宋体"/>
                <w:color w:val="auto"/>
                <w:kern w:val="0"/>
                <w:sz w:val="20"/>
                <w:szCs w:val="20"/>
                <w:lang w:val="en-US" w:eastAsia="zh-CN" w:bidi="ar"/>
              </w:rPr>
            </w:pPr>
            <w:r>
              <w:rPr>
                <w:rFonts w:hint="default" w:ascii="Times New Roman" w:hAnsi="Times New Roman" w:eastAsia="宋体" w:cs="Times New Roman"/>
                <w:b w:val="0"/>
                <w:color w:val="auto"/>
                <w:sz w:val="24"/>
                <w:szCs w:val="24"/>
                <w:lang w:val="en-US" w:eastAsia="zh-CN"/>
              </w:rPr>
              <w:t>本项目位于</w:t>
            </w:r>
            <w:r>
              <w:rPr>
                <w:rFonts w:hint="eastAsia" w:cs="Times New Roman"/>
                <w:b w:val="0"/>
                <w:color w:val="auto"/>
                <w:sz w:val="24"/>
                <w:szCs w:val="24"/>
                <w:lang w:val="en-US" w:eastAsia="zh-CN"/>
              </w:rPr>
              <w:t>新堡镇新堡村G109复线与S101线交叉口东南侧300m处</w:t>
            </w:r>
            <w:r>
              <w:rPr>
                <w:rFonts w:hint="default" w:ascii="Times New Roman" w:hAnsi="Times New Roman" w:eastAsia="宋体" w:cs="Times New Roman"/>
                <w:b w:val="0"/>
                <w:color w:val="auto"/>
                <w:sz w:val="24"/>
                <w:szCs w:val="24"/>
                <w:lang w:val="en-US" w:eastAsia="zh-CN"/>
              </w:rPr>
              <w:t>，</w:t>
            </w:r>
            <w:r>
              <w:rPr>
                <w:rFonts w:hint="default" w:ascii="Times New Roman" w:hAnsi="Times New Roman" w:eastAsia="宋体" w:cs="Times New Roman"/>
                <w:color w:val="auto"/>
                <w:sz w:val="24"/>
                <w:szCs w:val="24"/>
              </w:rPr>
              <w:t>属于大气环境高排放重点管控区，位于重点管控单元</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2205</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大气污染物为</w:t>
            </w:r>
            <w:r>
              <w:rPr>
                <w:rFonts w:hint="default" w:ascii="Times New Roman" w:hAnsi="Times New Roman" w:eastAsia="宋体" w:cs="Times New Roman"/>
                <w:color w:val="auto"/>
                <w:sz w:val="24"/>
                <w:szCs w:val="24"/>
                <w:lang w:val="en-US" w:eastAsia="zh-CN"/>
              </w:rPr>
              <w:t>非甲烷总烃，</w:t>
            </w:r>
            <w:r>
              <w:rPr>
                <w:rFonts w:hint="default" w:ascii="Times New Roman" w:hAnsi="Times New Roman" w:eastAsia="宋体" w:cs="Times New Roman"/>
                <w:color w:val="auto"/>
                <w:kern w:val="0"/>
                <w:sz w:val="24"/>
                <w:szCs w:val="24"/>
                <w:lang w:val="en-US" w:eastAsia="zh-CN" w:bidi="ar"/>
              </w:rPr>
              <w:t>项目采用先进的工艺和有效的环保措施，废气 可做到达标排放，不会改变区域大气环境质量，</w:t>
            </w:r>
            <w:r>
              <w:rPr>
                <w:rFonts w:hint="default" w:ascii="Times New Roman" w:hAnsi="Times New Roman" w:eastAsia="宋体" w:cs="Times New Roman"/>
                <w:color w:val="auto"/>
                <w:sz w:val="24"/>
                <w:szCs w:val="24"/>
              </w:rPr>
              <w:t>满足大气环境质量底线要求。</w:t>
            </w:r>
          </w:p>
          <w:p>
            <w:pPr>
              <w:pStyle w:val="32"/>
              <w:ind w:firstLine="512"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本项目在中卫市生态环境管控单元分区图中位置见附图</w:t>
            </w:r>
            <w:r>
              <w:rPr>
                <w:rFonts w:hint="default" w:ascii="Times New Roman" w:hAnsi="Times New Roman" w:eastAsia="宋体" w:cs="Times New Roman"/>
                <w:color w:val="auto"/>
                <w:sz w:val="24"/>
                <w:szCs w:val="24"/>
                <w:lang w:val="en-US" w:eastAsia="zh-CN"/>
              </w:rPr>
              <w:t>2。</w:t>
            </w:r>
          </w:p>
          <w:p>
            <w:pPr>
              <w:pStyle w:val="62"/>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ascii="宋体" w:hAnsi="宋体" w:eastAsia="宋体" w:cs="宋体"/>
                <w:color w:val="auto"/>
                <w:sz w:val="24"/>
                <w:szCs w:val="24"/>
              </w:rPr>
            </w:pPr>
            <w:r>
              <w:rPr>
                <w:rFonts w:ascii="宋体" w:hAnsi="宋体" w:eastAsia="宋体" w:cs="宋体"/>
                <w:color w:val="auto"/>
                <w:sz w:val="24"/>
                <w:szCs w:val="24"/>
              </w:rPr>
              <w:t>④生态环境准入清单：</w:t>
            </w:r>
          </w:p>
          <w:p>
            <w:pPr>
              <w:pStyle w:val="62"/>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本项目与中卫市环境管控单元生态环境准入清单的符合性见</w:t>
            </w:r>
            <w:r>
              <w:rPr>
                <w:rFonts w:hint="eastAsia" w:cs="Times New Roman"/>
                <w:b w:val="0"/>
                <w:bCs/>
                <w:color w:val="auto"/>
                <w:sz w:val="24"/>
                <w:szCs w:val="24"/>
                <w:lang w:val="en-US" w:eastAsia="zh-CN"/>
              </w:rPr>
              <w:t>表</w:t>
            </w:r>
            <w:r>
              <w:rPr>
                <w:rFonts w:hint="default" w:ascii="Times New Roman" w:hAnsi="Times New Roman" w:eastAsia="宋体" w:cs="Times New Roman"/>
                <w:b w:val="0"/>
                <w:bCs/>
                <w:color w:val="auto"/>
                <w:sz w:val="24"/>
                <w:szCs w:val="24"/>
                <w:lang w:val="en-US" w:eastAsia="zh-CN"/>
              </w:rPr>
              <w:t>1-2、表1-3。</w:t>
            </w:r>
          </w:p>
          <w:p>
            <w:pPr>
              <w:pStyle w:val="6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color w:val="auto"/>
                <w:sz w:val="24"/>
                <w:szCs w:val="24"/>
              </w:rPr>
            </w:pPr>
            <w:r>
              <w:rPr>
                <w:rFonts w:hint="default" w:ascii="Times New Roman" w:hAnsi="Times New Roman" w:eastAsia="黑体" w:cs="Times New Roman"/>
                <w:b w:val="0"/>
                <w:bCs/>
                <w:color w:val="auto"/>
                <w:sz w:val="24"/>
                <w:szCs w:val="24"/>
              </w:rPr>
              <w:t>表</w:t>
            </w:r>
            <w:r>
              <w:rPr>
                <w:rFonts w:hint="default" w:ascii="Times New Roman" w:hAnsi="Times New Roman" w:eastAsia="黑体" w:cs="Times New Roman"/>
                <w:b w:val="0"/>
                <w:bCs/>
                <w:color w:val="auto"/>
                <w:sz w:val="24"/>
                <w:szCs w:val="24"/>
                <w:lang w:val="en-US" w:eastAsia="zh-CN"/>
              </w:rPr>
              <w:t>1-</w:t>
            </w:r>
            <w:r>
              <w:rPr>
                <w:rFonts w:hint="default" w:ascii="Times New Roman" w:hAnsi="Times New Roman" w:eastAsia="黑体" w:cs="Times New Roman"/>
                <w:b w:val="0"/>
                <w:bCs/>
                <w:color w:val="auto"/>
                <w:sz w:val="24"/>
                <w:szCs w:val="24"/>
              </w:rPr>
              <w:t>2</w:t>
            </w:r>
            <w:r>
              <w:rPr>
                <w:rFonts w:hint="default" w:ascii="Times New Roman" w:hAnsi="Times New Roman" w:eastAsia="黑体" w:cs="Times New Roman"/>
                <w:b w:val="0"/>
                <w:bCs/>
                <w:color w:val="auto"/>
                <w:sz w:val="24"/>
                <w:szCs w:val="24"/>
                <w:lang w:val="en-US" w:eastAsia="zh-CN"/>
              </w:rPr>
              <w:t xml:space="preserve">  </w:t>
            </w:r>
            <w:r>
              <w:rPr>
                <w:rFonts w:hint="default" w:ascii="Times New Roman" w:hAnsi="Times New Roman" w:eastAsia="黑体" w:cs="Times New Roman"/>
                <w:b w:val="0"/>
                <w:bCs/>
                <w:color w:val="auto"/>
                <w:sz w:val="24"/>
                <w:szCs w:val="24"/>
              </w:rPr>
              <w:t>中卫市生态环境总体准入要求一览表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9"/>
              <w:gridCol w:w="1043"/>
              <w:gridCol w:w="5021"/>
              <w:gridCol w:w="19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8" w:type="pct"/>
                  <w:gridSpan w:val="3"/>
                  <w:tcBorders>
                    <w:tl2br w:val="nil"/>
                    <w:tr2bl w:val="nil"/>
                  </w:tcBorders>
                  <w:noWrap w:val="0"/>
                  <w:vAlign w:val="center"/>
                </w:tcPr>
                <w:p>
                  <w:pPr>
                    <w:pStyle w:val="47"/>
                    <w:bidi w:val="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中卫市生态环境总体准入要求</w:t>
                  </w:r>
                </w:p>
              </w:tc>
              <w:tc>
                <w:tcPr>
                  <w:tcW w:w="1141" w:type="pct"/>
                  <w:vMerge w:val="restart"/>
                  <w:tcBorders>
                    <w:tl2br w:val="nil"/>
                    <w:tr2bl w:val="nil"/>
                  </w:tcBorders>
                  <w:noWrap w:val="0"/>
                  <w:vAlign w:val="center"/>
                </w:tcPr>
                <w:p>
                  <w:pPr>
                    <w:pStyle w:val="47"/>
                    <w:bidi w:val="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z w:val="21"/>
                      <w:szCs w:val="21"/>
                      <w:lang w:eastAsia="zh-CN"/>
                    </w:rPr>
                    <w:t>本项目情况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gridSpan w:val="2"/>
                  <w:tcBorders>
                    <w:tl2br w:val="nil"/>
                    <w:tr2bl w:val="nil"/>
                  </w:tcBorders>
                  <w:noWrap w:val="0"/>
                  <w:vAlign w:val="center"/>
                </w:tcPr>
                <w:p>
                  <w:pPr>
                    <w:pStyle w:val="47"/>
                    <w:bidi w:val="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管控维度</w:t>
                  </w:r>
                </w:p>
              </w:tc>
              <w:tc>
                <w:tcPr>
                  <w:tcW w:w="2894" w:type="pct"/>
                  <w:tcBorders>
                    <w:tl2br w:val="nil"/>
                    <w:tr2bl w:val="nil"/>
                  </w:tcBorders>
                  <w:noWrap w:val="0"/>
                  <w:vAlign w:val="center"/>
                </w:tcPr>
                <w:p>
                  <w:pPr>
                    <w:pStyle w:val="47"/>
                    <w:bidi w:val="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管控要求</w:t>
                  </w:r>
                </w:p>
              </w:tc>
              <w:tc>
                <w:tcPr>
                  <w:tcW w:w="1141" w:type="pct"/>
                  <w:vMerge w:val="continue"/>
                  <w:tcBorders>
                    <w:tl2br w:val="nil"/>
                    <w:tr2bl w:val="nil"/>
                  </w:tcBorders>
                  <w:noWrap w:val="0"/>
                  <w:vAlign w:val="center"/>
                </w:tcPr>
                <w:p>
                  <w:pPr>
                    <w:pStyle w:val="47"/>
                    <w:bidi w:val="0"/>
                    <w:rPr>
                      <w:rFonts w:hint="default" w:ascii="Times New Roman" w:hAnsi="Times New Roman" w:eastAsia="宋体" w:cs="Times New Roman"/>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363" w:type="pct"/>
                  <w:vMerge w:val="restart"/>
                  <w:tcBorders>
                    <w:tl2br w:val="nil"/>
                    <w:tr2bl w:val="nil"/>
                  </w:tcBorders>
                  <w:noWrap w:val="0"/>
                  <w:vAlign w:val="center"/>
                </w:tcPr>
                <w:p>
                  <w:pPr>
                    <w:pStyle w:val="91"/>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A1空间布局约束</w:t>
                  </w:r>
                </w:p>
              </w:tc>
              <w:tc>
                <w:tcPr>
                  <w:tcW w:w="600" w:type="pct"/>
                  <w:vMerge w:val="restart"/>
                  <w:tcBorders>
                    <w:tl2br w:val="nil"/>
                    <w:tr2bl w:val="nil"/>
                  </w:tcBorders>
                  <w:noWrap w:val="0"/>
                  <w:vAlign w:val="center"/>
                </w:tcPr>
                <w:p>
                  <w:pPr>
                    <w:pStyle w:val="91"/>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A1.1禁止开发建设活动的要求</w:t>
                  </w:r>
                </w:p>
              </w:tc>
              <w:tc>
                <w:tcPr>
                  <w:tcW w:w="2894" w:type="pct"/>
                  <w:tcBorders>
                    <w:tl2br w:val="nil"/>
                    <w:tr2bl w:val="nil"/>
                  </w:tcBorders>
                  <w:noWrap w:val="0"/>
                  <w:vAlign w:val="center"/>
                </w:tcPr>
                <w:p>
                  <w:pPr>
                    <w:pStyle w:val="91"/>
                    <w:bidi w:val="0"/>
                    <w:ind w:firstLine="476"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严禁在黄河干流及主要支流临岸1公里范围内新建“两高一资"项目及相关产业园区。</w:t>
                  </w:r>
                </w:p>
              </w:tc>
              <w:tc>
                <w:tcPr>
                  <w:tcW w:w="1141" w:type="pct"/>
                  <w:vMerge w:val="restart"/>
                  <w:tcBorders>
                    <w:tl2br w:val="nil"/>
                    <w:tr2bl w:val="nil"/>
                  </w:tcBorders>
                  <w:noWrap w:val="0"/>
                  <w:vAlign w:val="center"/>
                </w:tcPr>
                <w:p>
                  <w:pPr>
                    <w:pStyle w:val="91"/>
                    <w:bidi w:val="0"/>
                    <w:ind w:firstLine="476"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本项目位于中卫市中宁县</w:t>
                  </w:r>
                  <w:r>
                    <w:rPr>
                      <w:rFonts w:hint="default" w:ascii="Times New Roman" w:hAnsi="Times New Roman" w:eastAsia="宋体" w:cs="Times New Roman"/>
                      <w:b w:val="0"/>
                      <w:color w:val="auto"/>
                      <w:sz w:val="21"/>
                      <w:szCs w:val="21"/>
                      <w:lang w:val="en-US" w:eastAsia="zh-CN"/>
                    </w:rPr>
                    <w:t>新堡镇新堡村</w:t>
                  </w:r>
                  <w:r>
                    <w:rPr>
                      <w:rFonts w:hint="default" w:ascii="Times New Roman" w:hAnsi="Times New Roman" w:eastAsia="宋体" w:cs="Times New Roman"/>
                      <w:color w:val="auto"/>
                      <w:sz w:val="21"/>
                      <w:szCs w:val="21"/>
                      <w:lang w:val="en-US" w:eastAsia="zh-CN"/>
                    </w:rPr>
                    <w:t>，为</w:t>
                  </w:r>
                  <w:r>
                    <w:rPr>
                      <w:rFonts w:hint="default" w:ascii="Times New Roman" w:hAnsi="Times New Roman" w:eastAsia="宋体" w:cs="Times New Roman"/>
                      <w:color w:val="auto"/>
                      <w:kern w:val="0"/>
                      <w:sz w:val="21"/>
                      <w:szCs w:val="21"/>
                      <w:lang w:val="en-US" w:eastAsia="zh-CN" w:bidi="ar"/>
                    </w:rPr>
                    <w:t>机动车燃油零售行业</w:t>
                  </w:r>
                  <w:r>
                    <w:rPr>
                      <w:rFonts w:hint="default" w:ascii="Times New Roman" w:hAnsi="Times New Roman" w:eastAsia="宋体" w:cs="Times New Roman"/>
                      <w:color w:val="auto"/>
                      <w:sz w:val="21"/>
                      <w:szCs w:val="21"/>
                      <w:lang w:val="en-US" w:eastAsia="zh-CN"/>
                    </w:rPr>
                    <w:t>，不属于“两高一资”、锅炉等项目。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363" w:type="pct"/>
                  <w:vMerge w:val="continue"/>
                  <w:tcBorders>
                    <w:tl2br w:val="nil"/>
                    <w:tr2bl w:val="nil"/>
                  </w:tcBorders>
                  <w:noWrap w:val="0"/>
                  <w:vAlign w:val="center"/>
                </w:tcPr>
                <w:p>
                  <w:pPr>
                    <w:pStyle w:val="91"/>
                    <w:bidi w:val="0"/>
                    <w:jc w:val="left"/>
                    <w:rPr>
                      <w:rFonts w:hint="default" w:ascii="Times New Roman" w:hAnsi="Times New Roman" w:eastAsia="宋体" w:cs="Times New Roman"/>
                      <w:color w:val="auto"/>
                      <w:sz w:val="21"/>
                      <w:szCs w:val="21"/>
                    </w:rPr>
                  </w:pPr>
                </w:p>
              </w:tc>
              <w:tc>
                <w:tcPr>
                  <w:tcW w:w="600" w:type="pct"/>
                  <w:vMerge w:val="continue"/>
                  <w:tcBorders>
                    <w:tl2br w:val="nil"/>
                    <w:tr2bl w:val="nil"/>
                  </w:tcBorders>
                  <w:noWrap w:val="0"/>
                  <w:vAlign w:val="center"/>
                </w:tcPr>
                <w:p>
                  <w:pPr>
                    <w:pStyle w:val="91"/>
                    <w:bidi w:val="0"/>
                    <w:jc w:val="left"/>
                    <w:rPr>
                      <w:rFonts w:hint="default" w:ascii="Times New Roman" w:hAnsi="Times New Roman" w:eastAsia="宋体" w:cs="Times New Roman"/>
                      <w:color w:val="auto"/>
                      <w:sz w:val="21"/>
                      <w:szCs w:val="21"/>
                    </w:rPr>
                  </w:pPr>
                </w:p>
              </w:tc>
              <w:tc>
                <w:tcPr>
                  <w:tcW w:w="2894" w:type="pct"/>
                  <w:tcBorders>
                    <w:tl2br w:val="nil"/>
                    <w:tr2bl w:val="nil"/>
                  </w:tcBorders>
                  <w:noWrap w:val="0"/>
                  <w:vAlign w:val="center"/>
                </w:tcPr>
                <w:p>
                  <w:pPr>
                    <w:pStyle w:val="91"/>
                    <w:bidi w:val="0"/>
                    <w:ind w:firstLine="476"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黄河沿线两岸3公里范围内不再新建养殖场。</w:t>
                  </w:r>
                </w:p>
              </w:tc>
              <w:tc>
                <w:tcPr>
                  <w:tcW w:w="1141" w:type="pct"/>
                  <w:vMerge w:val="continue"/>
                  <w:tcBorders>
                    <w:tl2br w:val="nil"/>
                    <w:tr2bl w:val="nil"/>
                  </w:tcBorders>
                  <w:noWrap w:val="0"/>
                  <w:vAlign w:val="center"/>
                </w:tcPr>
                <w:p>
                  <w:pPr>
                    <w:pStyle w:val="91"/>
                    <w:bidi w:val="0"/>
                    <w:jc w:val="left"/>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363" w:type="pct"/>
                  <w:vMerge w:val="continue"/>
                  <w:tcBorders>
                    <w:tl2br w:val="nil"/>
                    <w:tr2bl w:val="nil"/>
                  </w:tcBorders>
                  <w:noWrap w:val="0"/>
                  <w:vAlign w:val="center"/>
                </w:tcPr>
                <w:p>
                  <w:pPr>
                    <w:pStyle w:val="91"/>
                    <w:bidi w:val="0"/>
                    <w:jc w:val="left"/>
                    <w:rPr>
                      <w:rFonts w:hint="default" w:ascii="Times New Roman" w:hAnsi="Times New Roman" w:eastAsia="宋体" w:cs="Times New Roman"/>
                      <w:color w:val="auto"/>
                      <w:sz w:val="21"/>
                      <w:szCs w:val="21"/>
                    </w:rPr>
                  </w:pPr>
                </w:p>
              </w:tc>
              <w:tc>
                <w:tcPr>
                  <w:tcW w:w="600" w:type="pct"/>
                  <w:vMerge w:val="continue"/>
                  <w:tcBorders>
                    <w:tl2br w:val="nil"/>
                    <w:tr2bl w:val="nil"/>
                  </w:tcBorders>
                  <w:noWrap w:val="0"/>
                  <w:vAlign w:val="center"/>
                </w:tcPr>
                <w:p>
                  <w:pPr>
                    <w:pStyle w:val="91"/>
                    <w:bidi w:val="0"/>
                    <w:jc w:val="left"/>
                    <w:rPr>
                      <w:rFonts w:hint="default" w:ascii="Times New Roman" w:hAnsi="Times New Roman" w:eastAsia="宋体" w:cs="Times New Roman"/>
                      <w:color w:val="auto"/>
                      <w:sz w:val="21"/>
                      <w:szCs w:val="21"/>
                    </w:rPr>
                  </w:pPr>
                </w:p>
              </w:tc>
              <w:tc>
                <w:tcPr>
                  <w:tcW w:w="2894" w:type="pct"/>
                  <w:tcBorders>
                    <w:tl2br w:val="nil"/>
                    <w:tr2bl w:val="nil"/>
                  </w:tcBorders>
                  <w:noWrap w:val="0"/>
                  <w:vAlign w:val="center"/>
                </w:tcPr>
                <w:p>
                  <w:pPr>
                    <w:pStyle w:val="91"/>
                    <w:bidi w:val="0"/>
                    <w:ind w:firstLine="476"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所有工业企业原则上一律入园，工业园区及产业集聚区外不再建设工业项目。</w:t>
                  </w:r>
                </w:p>
              </w:tc>
              <w:tc>
                <w:tcPr>
                  <w:tcW w:w="1141" w:type="pct"/>
                  <w:vMerge w:val="continue"/>
                  <w:tcBorders>
                    <w:tl2br w:val="nil"/>
                    <w:tr2bl w:val="nil"/>
                  </w:tcBorders>
                  <w:noWrap w:val="0"/>
                  <w:vAlign w:val="center"/>
                </w:tcPr>
                <w:p>
                  <w:pPr>
                    <w:pStyle w:val="91"/>
                    <w:bidi w:val="0"/>
                    <w:jc w:val="left"/>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363" w:type="pct"/>
                  <w:vMerge w:val="continue"/>
                  <w:tcBorders>
                    <w:tl2br w:val="nil"/>
                    <w:tr2bl w:val="nil"/>
                  </w:tcBorders>
                  <w:noWrap w:val="0"/>
                  <w:vAlign w:val="center"/>
                </w:tcPr>
                <w:p>
                  <w:pPr>
                    <w:pStyle w:val="91"/>
                    <w:bidi w:val="0"/>
                    <w:jc w:val="left"/>
                    <w:rPr>
                      <w:rFonts w:hint="default" w:ascii="Times New Roman" w:hAnsi="Times New Roman" w:eastAsia="宋体" w:cs="Times New Roman"/>
                      <w:color w:val="auto"/>
                      <w:sz w:val="21"/>
                      <w:szCs w:val="21"/>
                    </w:rPr>
                  </w:pPr>
                </w:p>
              </w:tc>
              <w:tc>
                <w:tcPr>
                  <w:tcW w:w="600" w:type="pct"/>
                  <w:vMerge w:val="continue"/>
                  <w:tcBorders>
                    <w:tl2br w:val="nil"/>
                    <w:tr2bl w:val="nil"/>
                  </w:tcBorders>
                  <w:noWrap w:val="0"/>
                  <w:vAlign w:val="center"/>
                </w:tcPr>
                <w:p>
                  <w:pPr>
                    <w:pStyle w:val="91"/>
                    <w:bidi w:val="0"/>
                    <w:jc w:val="left"/>
                    <w:rPr>
                      <w:rFonts w:hint="default" w:ascii="Times New Roman" w:hAnsi="Times New Roman" w:eastAsia="宋体" w:cs="Times New Roman"/>
                      <w:color w:val="auto"/>
                      <w:sz w:val="21"/>
                      <w:szCs w:val="21"/>
                    </w:rPr>
                  </w:pPr>
                </w:p>
              </w:tc>
              <w:tc>
                <w:tcPr>
                  <w:tcW w:w="2894" w:type="pct"/>
                  <w:tcBorders>
                    <w:tl2br w:val="nil"/>
                    <w:tr2bl w:val="nil"/>
                  </w:tcBorders>
                  <w:noWrap w:val="0"/>
                  <w:vAlign w:val="center"/>
                </w:tcPr>
                <w:p>
                  <w:pPr>
                    <w:pStyle w:val="91"/>
                    <w:bidi w:val="0"/>
                    <w:ind w:firstLine="476"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城市建成区内，禁止新建、扩建产生异味的生物发醇项目。</w:t>
                  </w:r>
                </w:p>
              </w:tc>
              <w:tc>
                <w:tcPr>
                  <w:tcW w:w="1141" w:type="pct"/>
                  <w:vMerge w:val="continue"/>
                  <w:tcBorders>
                    <w:tl2br w:val="nil"/>
                    <w:tr2bl w:val="nil"/>
                  </w:tcBorders>
                  <w:noWrap w:val="0"/>
                  <w:vAlign w:val="center"/>
                </w:tcPr>
                <w:p>
                  <w:pPr>
                    <w:pStyle w:val="91"/>
                    <w:bidi w:val="0"/>
                    <w:jc w:val="left"/>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363" w:type="pct"/>
                  <w:vMerge w:val="continue"/>
                  <w:tcBorders>
                    <w:tl2br w:val="nil"/>
                    <w:tr2bl w:val="nil"/>
                  </w:tcBorders>
                  <w:noWrap w:val="0"/>
                  <w:vAlign w:val="center"/>
                </w:tcPr>
                <w:p>
                  <w:pPr>
                    <w:pStyle w:val="91"/>
                    <w:bidi w:val="0"/>
                    <w:jc w:val="left"/>
                    <w:rPr>
                      <w:rFonts w:hint="default" w:ascii="Times New Roman" w:hAnsi="Times New Roman" w:eastAsia="宋体" w:cs="Times New Roman"/>
                      <w:color w:val="auto"/>
                      <w:sz w:val="21"/>
                      <w:szCs w:val="21"/>
                    </w:rPr>
                  </w:pPr>
                </w:p>
              </w:tc>
              <w:tc>
                <w:tcPr>
                  <w:tcW w:w="600" w:type="pct"/>
                  <w:vMerge w:val="continue"/>
                  <w:tcBorders>
                    <w:tl2br w:val="nil"/>
                    <w:tr2bl w:val="nil"/>
                  </w:tcBorders>
                  <w:noWrap w:val="0"/>
                  <w:vAlign w:val="center"/>
                </w:tcPr>
                <w:p>
                  <w:pPr>
                    <w:pStyle w:val="91"/>
                    <w:bidi w:val="0"/>
                    <w:jc w:val="left"/>
                    <w:rPr>
                      <w:rFonts w:hint="default" w:ascii="Times New Roman" w:hAnsi="Times New Roman" w:eastAsia="宋体" w:cs="Times New Roman"/>
                      <w:color w:val="auto"/>
                      <w:sz w:val="21"/>
                      <w:szCs w:val="21"/>
                    </w:rPr>
                  </w:pPr>
                </w:p>
              </w:tc>
              <w:tc>
                <w:tcPr>
                  <w:tcW w:w="2894" w:type="pct"/>
                  <w:tcBorders>
                    <w:tl2br w:val="nil"/>
                    <w:tr2bl w:val="nil"/>
                  </w:tcBorders>
                  <w:noWrap w:val="0"/>
                  <w:vAlign w:val="center"/>
                </w:tcPr>
                <w:p>
                  <w:pPr>
                    <w:pStyle w:val="91"/>
                    <w:bidi w:val="0"/>
                    <w:ind w:firstLine="476"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“十四五”期间不再新增燃煤自备电厂。</w:t>
                  </w:r>
                </w:p>
              </w:tc>
              <w:tc>
                <w:tcPr>
                  <w:tcW w:w="1141" w:type="pct"/>
                  <w:vMerge w:val="continue"/>
                  <w:tcBorders>
                    <w:tl2br w:val="nil"/>
                    <w:tr2bl w:val="nil"/>
                  </w:tcBorders>
                  <w:noWrap w:val="0"/>
                  <w:vAlign w:val="center"/>
                </w:tcPr>
                <w:p>
                  <w:pPr>
                    <w:pStyle w:val="91"/>
                    <w:bidi w:val="0"/>
                    <w:jc w:val="left"/>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363" w:type="pct"/>
                  <w:vMerge w:val="continue"/>
                  <w:tcBorders>
                    <w:tl2br w:val="nil"/>
                    <w:tr2bl w:val="nil"/>
                  </w:tcBorders>
                  <w:noWrap w:val="0"/>
                  <w:vAlign w:val="center"/>
                </w:tcPr>
                <w:p>
                  <w:pPr>
                    <w:pStyle w:val="91"/>
                    <w:bidi w:val="0"/>
                    <w:jc w:val="left"/>
                    <w:rPr>
                      <w:rFonts w:hint="default" w:ascii="Times New Roman" w:hAnsi="Times New Roman" w:eastAsia="宋体" w:cs="Times New Roman"/>
                      <w:color w:val="auto"/>
                      <w:sz w:val="21"/>
                      <w:szCs w:val="21"/>
                    </w:rPr>
                  </w:pPr>
                </w:p>
              </w:tc>
              <w:tc>
                <w:tcPr>
                  <w:tcW w:w="600" w:type="pct"/>
                  <w:vMerge w:val="continue"/>
                  <w:tcBorders>
                    <w:tl2br w:val="nil"/>
                    <w:tr2bl w:val="nil"/>
                  </w:tcBorders>
                  <w:noWrap w:val="0"/>
                  <w:vAlign w:val="center"/>
                </w:tcPr>
                <w:p>
                  <w:pPr>
                    <w:pStyle w:val="91"/>
                    <w:bidi w:val="0"/>
                    <w:jc w:val="left"/>
                    <w:rPr>
                      <w:rFonts w:hint="default" w:ascii="Times New Roman" w:hAnsi="Times New Roman" w:eastAsia="宋体" w:cs="Times New Roman"/>
                      <w:color w:val="auto"/>
                      <w:sz w:val="21"/>
                      <w:szCs w:val="21"/>
                    </w:rPr>
                  </w:pPr>
                </w:p>
              </w:tc>
              <w:tc>
                <w:tcPr>
                  <w:tcW w:w="2894" w:type="pct"/>
                  <w:tcBorders>
                    <w:tl2br w:val="nil"/>
                    <w:tr2bl w:val="nil"/>
                  </w:tcBorders>
                  <w:noWrap w:val="0"/>
                  <w:vAlign w:val="center"/>
                </w:tcPr>
                <w:p>
                  <w:pPr>
                    <w:pStyle w:val="91"/>
                    <w:bidi w:val="0"/>
                    <w:ind w:firstLine="476"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禁止在优先保护类耕地集中区城新建有色金属冶炼、石油加工、化工、焦化、电镀、制革等行业企业。</w:t>
                  </w:r>
                </w:p>
              </w:tc>
              <w:tc>
                <w:tcPr>
                  <w:tcW w:w="1141" w:type="pct"/>
                  <w:vMerge w:val="continue"/>
                  <w:tcBorders>
                    <w:tl2br w:val="nil"/>
                    <w:tr2bl w:val="nil"/>
                  </w:tcBorders>
                  <w:noWrap w:val="0"/>
                  <w:vAlign w:val="center"/>
                </w:tcPr>
                <w:p>
                  <w:pPr>
                    <w:pStyle w:val="91"/>
                    <w:bidi w:val="0"/>
                    <w:jc w:val="left"/>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vMerge w:val="continue"/>
                  <w:tcBorders>
                    <w:tl2br w:val="nil"/>
                    <w:tr2bl w:val="nil"/>
                  </w:tcBorders>
                  <w:noWrap w:val="0"/>
                  <w:vAlign w:val="center"/>
                </w:tcPr>
                <w:p>
                  <w:pPr>
                    <w:pStyle w:val="91"/>
                    <w:bidi w:val="0"/>
                    <w:rPr>
                      <w:rFonts w:hint="default" w:ascii="Times New Roman" w:hAnsi="Times New Roman" w:eastAsia="宋体" w:cs="Times New Roman"/>
                      <w:color w:val="auto"/>
                      <w:sz w:val="21"/>
                      <w:szCs w:val="21"/>
                    </w:rPr>
                  </w:pPr>
                </w:p>
              </w:tc>
              <w:tc>
                <w:tcPr>
                  <w:tcW w:w="600" w:type="pct"/>
                  <w:tcBorders>
                    <w:tl2br w:val="nil"/>
                    <w:tr2bl w:val="nil"/>
                  </w:tcBorders>
                  <w:noWrap w:val="0"/>
                  <w:vAlign w:val="center"/>
                </w:tcPr>
                <w:p>
                  <w:pPr>
                    <w:pStyle w:val="91"/>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A1.2限制开发建设活动的要求</w:t>
                  </w:r>
                </w:p>
              </w:tc>
              <w:tc>
                <w:tcPr>
                  <w:tcW w:w="2894" w:type="pct"/>
                  <w:tcBorders>
                    <w:tl2br w:val="nil"/>
                    <w:tr2bl w:val="nil"/>
                  </w:tcBorders>
                  <w:noWrap w:val="0"/>
                  <w:vAlign w:val="center"/>
                </w:tcPr>
                <w:p>
                  <w:pPr>
                    <w:pStyle w:val="91"/>
                    <w:bidi w:val="0"/>
                    <w:ind w:firstLine="476"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严控“两高”行业和产能过剩行业用地、用电等，坚决杜绝“两高”行业低水平重复建设，对不符合国家产业规划、产业政策、“三线一单”、规划环评、产能置换、煤炭消费减量替代、污染物排放区域削减等要求及未落实能耗指标的“两高”项目坚决停批。</w:t>
                  </w:r>
                </w:p>
              </w:tc>
              <w:tc>
                <w:tcPr>
                  <w:tcW w:w="1141" w:type="pct"/>
                  <w:vMerge w:val="continue"/>
                  <w:tcBorders>
                    <w:tl2br w:val="nil"/>
                    <w:tr2bl w:val="nil"/>
                  </w:tcBorders>
                  <w:noWrap w:val="0"/>
                  <w:vAlign w:val="center"/>
                </w:tcPr>
                <w:p>
                  <w:pPr>
                    <w:pStyle w:val="91"/>
                    <w:bidi w:val="0"/>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363" w:type="pct"/>
                  <w:vMerge w:val="continue"/>
                  <w:tcBorders>
                    <w:tl2br w:val="nil"/>
                    <w:tr2bl w:val="nil"/>
                  </w:tcBorders>
                  <w:noWrap w:val="0"/>
                  <w:vAlign w:val="center"/>
                </w:tcPr>
                <w:p>
                  <w:pPr>
                    <w:pStyle w:val="91"/>
                    <w:bidi w:val="0"/>
                    <w:rPr>
                      <w:rFonts w:hint="default" w:ascii="Times New Roman" w:hAnsi="Times New Roman" w:eastAsia="宋体" w:cs="Times New Roman"/>
                      <w:color w:val="auto"/>
                      <w:sz w:val="21"/>
                      <w:szCs w:val="21"/>
                    </w:rPr>
                  </w:pPr>
                </w:p>
              </w:tc>
              <w:tc>
                <w:tcPr>
                  <w:tcW w:w="600" w:type="pct"/>
                  <w:vMerge w:val="restart"/>
                  <w:tcBorders>
                    <w:tl2br w:val="nil"/>
                    <w:tr2bl w:val="nil"/>
                  </w:tcBorders>
                  <w:noWrap w:val="0"/>
                  <w:vAlign w:val="center"/>
                </w:tcPr>
                <w:p>
                  <w:pPr>
                    <w:pStyle w:val="91"/>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A1.3不符合空间布局活动的退出要求</w:t>
                  </w:r>
                </w:p>
              </w:tc>
              <w:tc>
                <w:tcPr>
                  <w:tcW w:w="2894" w:type="pct"/>
                  <w:tcBorders>
                    <w:tl2br w:val="nil"/>
                    <w:tr2bl w:val="nil"/>
                  </w:tcBorders>
                  <w:noWrap w:val="0"/>
                  <w:vAlign w:val="center"/>
                </w:tcPr>
                <w:p>
                  <w:pPr>
                    <w:pStyle w:val="91"/>
                    <w:bidi w:val="0"/>
                    <w:ind w:firstLine="476"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对严重影响优先区域土壤环境质量的工矿企业，要子以限期治理，未达到治理要求的，由县级以上人民政府依法贵令停业或关闭，监督企业对其造成的土壤污染进行修复治理。</w:t>
                  </w:r>
                </w:p>
              </w:tc>
              <w:tc>
                <w:tcPr>
                  <w:tcW w:w="1141" w:type="pct"/>
                  <w:vMerge w:val="continue"/>
                  <w:tcBorders>
                    <w:tl2br w:val="nil"/>
                    <w:tr2bl w:val="nil"/>
                  </w:tcBorders>
                  <w:noWrap w:val="0"/>
                  <w:vAlign w:val="center"/>
                </w:tcPr>
                <w:p>
                  <w:pPr>
                    <w:pStyle w:val="91"/>
                    <w:bidi w:val="0"/>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363" w:type="pct"/>
                  <w:vMerge w:val="continue"/>
                  <w:tcBorders>
                    <w:tl2br w:val="nil"/>
                    <w:tr2bl w:val="nil"/>
                  </w:tcBorders>
                  <w:noWrap w:val="0"/>
                  <w:vAlign w:val="center"/>
                </w:tcPr>
                <w:p>
                  <w:pPr>
                    <w:pStyle w:val="91"/>
                    <w:bidi w:val="0"/>
                    <w:jc w:val="left"/>
                    <w:rPr>
                      <w:rFonts w:hint="default" w:ascii="Times New Roman" w:hAnsi="Times New Roman" w:eastAsia="宋体" w:cs="Times New Roman"/>
                      <w:color w:val="auto"/>
                      <w:sz w:val="21"/>
                      <w:szCs w:val="21"/>
                    </w:rPr>
                  </w:pPr>
                </w:p>
              </w:tc>
              <w:tc>
                <w:tcPr>
                  <w:tcW w:w="600" w:type="pct"/>
                  <w:vMerge w:val="continue"/>
                  <w:tcBorders>
                    <w:tl2br w:val="nil"/>
                    <w:tr2bl w:val="nil"/>
                  </w:tcBorders>
                  <w:noWrap w:val="0"/>
                  <w:vAlign w:val="center"/>
                </w:tcPr>
                <w:p>
                  <w:pPr>
                    <w:pStyle w:val="91"/>
                    <w:bidi w:val="0"/>
                    <w:jc w:val="left"/>
                    <w:rPr>
                      <w:rFonts w:hint="default" w:ascii="Times New Roman" w:hAnsi="Times New Roman" w:eastAsia="宋体" w:cs="Times New Roman"/>
                      <w:color w:val="auto"/>
                      <w:sz w:val="21"/>
                      <w:szCs w:val="21"/>
                    </w:rPr>
                  </w:pPr>
                </w:p>
              </w:tc>
              <w:tc>
                <w:tcPr>
                  <w:tcW w:w="2894" w:type="pct"/>
                  <w:tcBorders>
                    <w:tl2br w:val="nil"/>
                    <w:tr2bl w:val="nil"/>
                  </w:tcBorders>
                  <w:noWrap w:val="0"/>
                  <w:vAlign w:val="center"/>
                </w:tcPr>
                <w:p>
                  <w:pPr>
                    <w:pStyle w:val="91"/>
                    <w:bidi w:val="0"/>
                    <w:ind w:firstLine="476"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严格管控自然保护地范围内非生态活动，稳妥推进核心区内居民、耕地、矿权有序退出。</w:t>
                  </w:r>
                </w:p>
              </w:tc>
              <w:tc>
                <w:tcPr>
                  <w:tcW w:w="1141" w:type="pct"/>
                  <w:vMerge w:val="continue"/>
                  <w:tcBorders>
                    <w:tl2br w:val="nil"/>
                    <w:tr2bl w:val="nil"/>
                  </w:tcBorders>
                  <w:noWrap w:val="0"/>
                  <w:vAlign w:val="center"/>
                </w:tcPr>
                <w:p>
                  <w:pPr>
                    <w:pStyle w:val="91"/>
                    <w:bidi w:val="0"/>
                    <w:jc w:val="left"/>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363" w:type="pct"/>
                  <w:vMerge w:val="continue"/>
                  <w:tcBorders>
                    <w:tl2br w:val="nil"/>
                    <w:tr2bl w:val="nil"/>
                  </w:tcBorders>
                  <w:noWrap w:val="0"/>
                  <w:vAlign w:val="center"/>
                </w:tcPr>
                <w:p>
                  <w:pPr>
                    <w:pStyle w:val="91"/>
                    <w:bidi w:val="0"/>
                    <w:jc w:val="left"/>
                    <w:rPr>
                      <w:rFonts w:hint="default" w:ascii="Times New Roman" w:hAnsi="Times New Roman" w:eastAsia="宋体" w:cs="Times New Roman"/>
                      <w:color w:val="auto"/>
                      <w:sz w:val="21"/>
                      <w:szCs w:val="21"/>
                    </w:rPr>
                  </w:pPr>
                </w:p>
              </w:tc>
              <w:tc>
                <w:tcPr>
                  <w:tcW w:w="600" w:type="pct"/>
                  <w:vMerge w:val="continue"/>
                  <w:tcBorders>
                    <w:tl2br w:val="nil"/>
                    <w:tr2bl w:val="nil"/>
                  </w:tcBorders>
                  <w:noWrap w:val="0"/>
                  <w:vAlign w:val="center"/>
                </w:tcPr>
                <w:p>
                  <w:pPr>
                    <w:pStyle w:val="91"/>
                    <w:bidi w:val="0"/>
                    <w:jc w:val="left"/>
                    <w:rPr>
                      <w:rFonts w:hint="default" w:ascii="Times New Roman" w:hAnsi="Times New Roman" w:eastAsia="宋体" w:cs="Times New Roman"/>
                      <w:color w:val="auto"/>
                      <w:sz w:val="21"/>
                      <w:szCs w:val="21"/>
                    </w:rPr>
                  </w:pPr>
                </w:p>
              </w:tc>
              <w:tc>
                <w:tcPr>
                  <w:tcW w:w="2894" w:type="pct"/>
                  <w:tcBorders>
                    <w:tl2br w:val="nil"/>
                    <w:tr2bl w:val="nil"/>
                  </w:tcBorders>
                  <w:noWrap w:val="0"/>
                  <w:vAlign w:val="center"/>
                </w:tcPr>
                <w:p>
                  <w:pPr>
                    <w:pStyle w:val="91"/>
                    <w:bidi w:val="0"/>
                    <w:ind w:firstLine="476"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畜禽养殖禁养区内规模养殖场(小区)在合理补偿的基础上，依法依规进行关闭或搬迁。</w:t>
                  </w:r>
                </w:p>
              </w:tc>
              <w:tc>
                <w:tcPr>
                  <w:tcW w:w="1141" w:type="pct"/>
                  <w:vMerge w:val="continue"/>
                  <w:tcBorders>
                    <w:tl2br w:val="nil"/>
                    <w:tr2bl w:val="nil"/>
                  </w:tcBorders>
                  <w:noWrap w:val="0"/>
                  <w:vAlign w:val="center"/>
                </w:tcPr>
                <w:p>
                  <w:pPr>
                    <w:pStyle w:val="91"/>
                    <w:bidi w:val="0"/>
                    <w:jc w:val="left"/>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363" w:type="pct"/>
                  <w:vMerge w:val="continue"/>
                  <w:tcBorders>
                    <w:tl2br w:val="nil"/>
                    <w:tr2bl w:val="nil"/>
                  </w:tcBorders>
                  <w:noWrap w:val="0"/>
                  <w:vAlign w:val="center"/>
                </w:tcPr>
                <w:p>
                  <w:pPr>
                    <w:pStyle w:val="91"/>
                    <w:bidi w:val="0"/>
                    <w:jc w:val="left"/>
                    <w:rPr>
                      <w:rFonts w:hint="default" w:ascii="Times New Roman" w:hAnsi="Times New Roman" w:eastAsia="宋体" w:cs="Times New Roman"/>
                      <w:color w:val="auto"/>
                      <w:sz w:val="21"/>
                      <w:szCs w:val="21"/>
                    </w:rPr>
                  </w:pPr>
                </w:p>
              </w:tc>
              <w:tc>
                <w:tcPr>
                  <w:tcW w:w="600" w:type="pct"/>
                  <w:vMerge w:val="continue"/>
                  <w:tcBorders>
                    <w:tl2br w:val="nil"/>
                    <w:tr2bl w:val="nil"/>
                  </w:tcBorders>
                  <w:noWrap w:val="0"/>
                  <w:vAlign w:val="center"/>
                </w:tcPr>
                <w:p>
                  <w:pPr>
                    <w:pStyle w:val="91"/>
                    <w:bidi w:val="0"/>
                    <w:jc w:val="left"/>
                    <w:rPr>
                      <w:rFonts w:hint="default" w:ascii="Times New Roman" w:hAnsi="Times New Roman" w:eastAsia="宋体" w:cs="Times New Roman"/>
                      <w:color w:val="auto"/>
                      <w:sz w:val="21"/>
                      <w:szCs w:val="21"/>
                    </w:rPr>
                  </w:pPr>
                </w:p>
              </w:tc>
              <w:tc>
                <w:tcPr>
                  <w:tcW w:w="2894" w:type="pct"/>
                  <w:tcBorders>
                    <w:tl2br w:val="nil"/>
                    <w:tr2bl w:val="nil"/>
                  </w:tcBorders>
                  <w:noWrap w:val="0"/>
                  <w:vAlign w:val="center"/>
                </w:tcPr>
                <w:p>
                  <w:pPr>
                    <w:pStyle w:val="91"/>
                    <w:bidi w:val="0"/>
                    <w:ind w:firstLine="476"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产业集聚区内全面淘汰20蒸吨/小时以下燃煤锅炉，集中供热中心15 公里范围内35蒸吨/小时及以下分散燃煤锅炉逐步淘汰。</w:t>
                  </w:r>
                </w:p>
              </w:tc>
              <w:tc>
                <w:tcPr>
                  <w:tcW w:w="1141" w:type="pct"/>
                  <w:vMerge w:val="continue"/>
                  <w:tcBorders>
                    <w:tl2br w:val="nil"/>
                    <w:tr2bl w:val="nil"/>
                  </w:tcBorders>
                  <w:noWrap w:val="0"/>
                  <w:vAlign w:val="center"/>
                </w:tcPr>
                <w:p>
                  <w:pPr>
                    <w:pStyle w:val="91"/>
                    <w:bidi w:val="0"/>
                    <w:jc w:val="left"/>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63" w:type="pct"/>
                  <w:vMerge w:val="restart"/>
                  <w:tcBorders>
                    <w:tl2br w:val="nil"/>
                    <w:tr2bl w:val="nil"/>
                  </w:tcBorders>
                  <w:noWrap w:val="0"/>
                  <w:vAlign w:val="center"/>
                </w:tcPr>
                <w:p>
                  <w:pPr>
                    <w:pStyle w:val="91"/>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A2污染物排放管控</w:t>
                  </w:r>
                </w:p>
              </w:tc>
              <w:tc>
                <w:tcPr>
                  <w:tcW w:w="600" w:type="pct"/>
                  <w:vMerge w:val="restart"/>
                  <w:tcBorders>
                    <w:tl2br w:val="nil"/>
                    <w:tr2bl w:val="nil"/>
                  </w:tcBorders>
                  <w:noWrap w:val="0"/>
                  <w:vAlign w:val="center"/>
                </w:tcPr>
                <w:p>
                  <w:pPr>
                    <w:pStyle w:val="91"/>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A2.1允许排放量要求</w:t>
                  </w:r>
                </w:p>
              </w:tc>
              <w:tc>
                <w:tcPr>
                  <w:tcW w:w="2894" w:type="pct"/>
                  <w:tcBorders>
                    <w:tl2br w:val="nil"/>
                    <w:tr2bl w:val="nil"/>
                  </w:tcBorders>
                  <w:noWrap w:val="0"/>
                  <w:vAlign w:val="center"/>
                </w:tcPr>
                <w:p>
                  <w:pPr>
                    <w:pStyle w:val="91"/>
                    <w:bidi w:val="0"/>
                    <w:ind w:firstLine="476"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化学需氧量、氨氮、氨氧化物和挥发性有机物排放总量完成自治区下达任务。</w:t>
                  </w:r>
                </w:p>
              </w:tc>
              <w:tc>
                <w:tcPr>
                  <w:tcW w:w="1141" w:type="pct"/>
                  <w:vMerge w:val="restart"/>
                  <w:tcBorders>
                    <w:tl2br w:val="nil"/>
                    <w:tr2bl w:val="nil"/>
                  </w:tcBorders>
                  <w:noWrap w:val="0"/>
                  <w:vAlign w:val="center"/>
                </w:tcPr>
                <w:p>
                  <w:pPr>
                    <w:pStyle w:val="91"/>
                    <w:bidi w:val="0"/>
                    <w:rPr>
                      <w:rFonts w:hint="default" w:ascii="Times New Roman" w:hAnsi="Times New Roman" w:eastAsia="宋体" w:cs="Times New Roman"/>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63" w:type="pct"/>
                  <w:vMerge w:val="continue"/>
                  <w:tcBorders>
                    <w:tl2br w:val="nil"/>
                    <w:tr2bl w:val="nil"/>
                  </w:tcBorders>
                  <w:noWrap w:val="0"/>
                  <w:vAlign w:val="center"/>
                </w:tcPr>
                <w:p>
                  <w:pPr>
                    <w:pStyle w:val="91"/>
                    <w:bidi w:val="0"/>
                    <w:jc w:val="left"/>
                    <w:rPr>
                      <w:color w:val="auto"/>
                    </w:rPr>
                  </w:pPr>
                </w:p>
              </w:tc>
              <w:tc>
                <w:tcPr>
                  <w:tcW w:w="600" w:type="pct"/>
                  <w:vMerge w:val="continue"/>
                  <w:tcBorders>
                    <w:tl2br w:val="nil"/>
                    <w:tr2bl w:val="nil"/>
                  </w:tcBorders>
                  <w:noWrap w:val="0"/>
                  <w:vAlign w:val="center"/>
                </w:tcPr>
                <w:p>
                  <w:pPr>
                    <w:pStyle w:val="91"/>
                    <w:bidi w:val="0"/>
                    <w:jc w:val="left"/>
                    <w:rPr>
                      <w:color w:val="auto"/>
                    </w:rPr>
                  </w:pPr>
                </w:p>
              </w:tc>
              <w:tc>
                <w:tcPr>
                  <w:tcW w:w="2894" w:type="pct"/>
                  <w:tcBorders>
                    <w:tl2br w:val="nil"/>
                    <w:tr2bl w:val="nil"/>
                  </w:tcBorders>
                  <w:noWrap w:val="0"/>
                  <w:vAlign w:val="center"/>
                </w:tcPr>
                <w:p>
                  <w:pPr>
                    <w:pStyle w:val="91"/>
                    <w:bidi w:val="0"/>
                    <w:ind w:firstLine="476"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严格涉VOCs排放的工业企业入，新建项目实行区域内VOCs排放等量或倍量削减替代。</w:t>
                  </w:r>
                </w:p>
              </w:tc>
              <w:tc>
                <w:tcPr>
                  <w:tcW w:w="1141" w:type="pct"/>
                  <w:vMerge w:val="continue"/>
                  <w:tcBorders>
                    <w:tl2br w:val="nil"/>
                    <w:tr2bl w:val="nil"/>
                  </w:tcBorders>
                  <w:noWrap w:val="0"/>
                  <w:vAlign w:val="center"/>
                </w:tcPr>
                <w:p>
                  <w:pPr>
                    <w:pStyle w:val="91"/>
                    <w:bidi w:val="0"/>
                    <w:jc w:val="left"/>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63" w:type="pct"/>
                  <w:vMerge w:val="continue"/>
                  <w:tcBorders>
                    <w:tl2br w:val="nil"/>
                    <w:tr2bl w:val="nil"/>
                  </w:tcBorders>
                  <w:noWrap w:val="0"/>
                  <w:vAlign w:val="center"/>
                </w:tcPr>
                <w:p>
                  <w:pPr>
                    <w:pStyle w:val="91"/>
                    <w:bidi w:val="0"/>
                    <w:jc w:val="left"/>
                    <w:rPr>
                      <w:rFonts w:hint="default" w:ascii="Times New Roman" w:hAnsi="Times New Roman" w:eastAsia="宋体" w:cs="Times New Roman"/>
                      <w:color w:val="auto"/>
                      <w:sz w:val="21"/>
                      <w:szCs w:val="21"/>
                    </w:rPr>
                  </w:pPr>
                </w:p>
              </w:tc>
              <w:tc>
                <w:tcPr>
                  <w:tcW w:w="600" w:type="pct"/>
                  <w:vMerge w:val="continue"/>
                  <w:tcBorders>
                    <w:tl2br w:val="nil"/>
                    <w:tr2bl w:val="nil"/>
                  </w:tcBorders>
                  <w:noWrap w:val="0"/>
                  <w:vAlign w:val="center"/>
                </w:tcPr>
                <w:p>
                  <w:pPr>
                    <w:pStyle w:val="91"/>
                    <w:bidi w:val="0"/>
                    <w:jc w:val="left"/>
                    <w:rPr>
                      <w:rFonts w:hint="default" w:ascii="Times New Roman" w:hAnsi="Times New Roman" w:eastAsia="宋体" w:cs="Times New Roman"/>
                      <w:color w:val="auto"/>
                      <w:sz w:val="21"/>
                      <w:szCs w:val="21"/>
                    </w:rPr>
                  </w:pPr>
                </w:p>
              </w:tc>
              <w:tc>
                <w:tcPr>
                  <w:tcW w:w="2894" w:type="pct"/>
                  <w:tcBorders>
                    <w:tl2br w:val="nil"/>
                    <w:tr2bl w:val="nil"/>
                  </w:tcBorders>
                  <w:noWrap w:val="0"/>
                  <w:vAlign w:val="center"/>
                </w:tcPr>
                <w:p>
                  <w:pPr>
                    <w:pStyle w:val="91"/>
                    <w:bidi w:val="0"/>
                    <w:ind w:firstLine="476"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新、改、扩建涉重金属重点行业建设项目，必须遵循重金属污染物排放“减量置换”或“等量替换”原则。</w:t>
                  </w:r>
                </w:p>
              </w:tc>
              <w:tc>
                <w:tcPr>
                  <w:tcW w:w="1141" w:type="pct"/>
                  <w:vMerge w:val="continue"/>
                  <w:tcBorders>
                    <w:tl2br w:val="nil"/>
                    <w:tr2bl w:val="nil"/>
                  </w:tcBorders>
                  <w:noWrap w:val="0"/>
                  <w:vAlign w:val="center"/>
                </w:tcPr>
                <w:p>
                  <w:pPr>
                    <w:pStyle w:val="91"/>
                    <w:bidi w:val="0"/>
                    <w:jc w:val="left"/>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63" w:type="pct"/>
                  <w:vMerge w:val="continue"/>
                  <w:tcBorders>
                    <w:tl2br w:val="nil"/>
                    <w:tr2bl w:val="nil"/>
                  </w:tcBorders>
                  <w:noWrap w:val="0"/>
                  <w:vAlign w:val="center"/>
                </w:tcPr>
                <w:p>
                  <w:pPr>
                    <w:pStyle w:val="91"/>
                    <w:bidi w:val="0"/>
                    <w:jc w:val="left"/>
                    <w:rPr>
                      <w:rFonts w:hint="default" w:ascii="Times New Roman" w:hAnsi="Times New Roman" w:eastAsia="宋体" w:cs="Times New Roman"/>
                      <w:color w:val="auto"/>
                      <w:sz w:val="21"/>
                      <w:szCs w:val="21"/>
                    </w:rPr>
                  </w:pPr>
                </w:p>
              </w:tc>
              <w:tc>
                <w:tcPr>
                  <w:tcW w:w="600" w:type="pct"/>
                  <w:vMerge w:val="continue"/>
                  <w:tcBorders>
                    <w:tl2br w:val="nil"/>
                    <w:tr2bl w:val="nil"/>
                  </w:tcBorders>
                  <w:noWrap w:val="0"/>
                  <w:vAlign w:val="center"/>
                </w:tcPr>
                <w:p>
                  <w:pPr>
                    <w:pStyle w:val="91"/>
                    <w:bidi w:val="0"/>
                    <w:jc w:val="left"/>
                    <w:rPr>
                      <w:rFonts w:hint="default" w:ascii="Times New Roman" w:hAnsi="Times New Roman" w:eastAsia="宋体" w:cs="Times New Roman"/>
                      <w:color w:val="auto"/>
                      <w:sz w:val="21"/>
                      <w:szCs w:val="21"/>
                    </w:rPr>
                  </w:pPr>
                </w:p>
              </w:tc>
              <w:tc>
                <w:tcPr>
                  <w:tcW w:w="2894" w:type="pct"/>
                  <w:tcBorders>
                    <w:tl2br w:val="nil"/>
                    <w:tr2bl w:val="nil"/>
                  </w:tcBorders>
                  <w:noWrap w:val="0"/>
                  <w:vAlign w:val="center"/>
                </w:tcPr>
                <w:p>
                  <w:pPr>
                    <w:pStyle w:val="91"/>
                    <w:bidi w:val="0"/>
                    <w:ind w:firstLine="476"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到2025年，中卫市畜禽养殖废物综合利用率达到95%，规模养殖场粪污处理设施装备配套率达到100%。</w:t>
                  </w:r>
                </w:p>
              </w:tc>
              <w:tc>
                <w:tcPr>
                  <w:tcW w:w="1141" w:type="pct"/>
                  <w:vMerge w:val="continue"/>
                  <w:tcBorders>
                    <w:tl2br w:val="nil"/>
                    <w:tr2bl w:val="nil"/>
                  </w:tcBorders>
                  <w:noWrap w:val="0"/>
                  <w:vAlign w:val="center"/>
                </w:tcPr>
                <w:p>
                  <w:pPr>
                    <w:pStyle w:val="91"/>
                    <w:bidi w:val="0"/>
                    <w:jc w:val="left"/>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63" w:type="pct"/>
                  <w:vMerge w:val="continue"/>
                  <w:tcBorders>
                    <w:tl2br w:val="nil"/>
                    <w:tr2bl w:val="nil"/>
                  </w:tcBorders>
                  <w:noWrap w:val="0"/>
                  <w:vAlign w:val="center"/>
                </w:tcPr>
                <w:p>
                  <w:pPr>
                    <w:pStyle w:val="91"/>
                    <w:bidi w:val="0"/>
                    <w:rPr>
                      <w:rFonts w:hint="default" w:ascii="Times New Roman" w:hAnsi="Times New Roman" w:eastAsia="宋体" w:cs="Times New Roman"/>
                      <w:color w:val="auto"/>
                      <w:sz w:val="21"/>
                      <w:szCs w:val="21"/>
                    </w:rPr>
                  </w:pPr>
                </w:p>
              </w:tc>
              <w:tc>
                <w:tcPr>
                  <w:tcW w:w="600" w:type="pct"/>
                  <w:tcBorders>
                    <w:tl2br w:val="nil"/>
                    <w:tr2bl w:val="nil"/>
                  </w:tcBorders>
                  <w:noWrap w:val="0"/>
                  <w:vAlign w:val="center"/>
                </w:tcPr>
                <w:p>
                  <w:pPr>
                    <w:pStyle w:val="91"/>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A2.2现有源提升改造要求</w:t>
                  </w:r>
                </w:p>
              </w:tc>
              <w:tc>
                <w:tcPr>
                  <w:tcW w:w="2894" w:type="pct"/>
                  <w:tcBorders>
                    <w:tl2br w:val="nil"/>
                    <w:tr2bl w:val="nil"/>
                  </w:tcBorders>
                  <w:noWrap w:val="0"/>
                  <w:vAlign w:val="center"/>
                </w:tcPr>
                <w:p>
                  <w:pPr>
                    <w:pStyle w:val="91"/>
                    <w:bidi w:val="0"/>
                    <w:ind w:firstLine="476"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万千瓦及以上火电企业全部实现超低排放，其他火电企业(含自备电厂)以及钢铁、水泥、焦化等重点行业全部达到特别排放限值要求。2024年底前，烧结、炼铁、炼钢轧钢、自备电厂等有组织排放污染物实行超低排放限值。</w:t>
                  </w:r>
                </w:p>
              </w:tc>
              <w:tc>
                <w:tcPr>
                  <w:tcW w:w="1141" w:type="pct"/>
                  <w:vMerge w:val="continue"/>
                  <w:tcBorders>
                    <w:tl2br w:val="nil"/>
                    <w:tr2bl w:val="nil"/>
                  </w:tcBorders>
                  <w:noWrap w:val="0"/>
                  <w:vAlign w:val="center"/>
                </w:tcPr>
                <w:p>
                  <w:pPr>
                    <w:pStyle w:val="91"/>
                    <w:bidi w:val="0"/>
                    <w:rPr>
                      <w:rFonts w:hint="default" w:ascii="Times New Roman" w:hAnsi="Times New Roman" w:eastAsia="宋体" w:cs="Times New Roman"/>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vMerge w:val="restart"/>
                  <w:tcBorders>
                    <w:tl2br w:val="nil"/>
                    <w:tr2bl w:val="nil"/>
                  </w:tcBorders>
                  <w:noWrap w:val="0"/>
                  <w:vAlign w:val="center"/>
                </w:tcPr>
                <w:p>
                  <w:pPr>
                    <w:pStyle w:val="91"/>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A3环境风险防控</w:t>
                  </w:r>
                </w:p>
              </w:tc>
              <w:tc>
                <w:tcPr>
                  <w:tcW w:w="600" w:type="pct"/>
                  <w:tcBorders>
                    <w:tl2br w:val="nil"/>
                    <w:tr2bl w:val="nil"/>
                  </w:tcBorders>
                  <w:noWrap w:val="0"/>
                  <w:vAlign w:val="center"/>
                </w:tcPr>
                <w:p>
                  <w:pPr>
                    <w:pStyle w:val="91"/>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A3.1联防联控要求</w:t>
                  </w:r>
                </w:p>
              </w:tc>
              <w:tc>
                <w:tcPr>
                  <w:tcW w:w="2894" w:type="pct"/>
                  <w:tcBorders>
                    <w:tl2br w:val="nil"/>
                    <w:tr2bl w:val="nil"/>
                  </w:tcBorders>
                  <w:noWrap w:val="0"/>
                  <w:vAlign w:val="center"/>
                </w:tcPr>
                <w:p>
                  <w:pPr>
                    <w:pStyle w:val="91"/>
                    <w:bidi w:val="0"/>
                    <w:ind w:firstLine="476"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健全市生态环境局与公安、交通、应急、气象、水务等部门联动机制，细化落实各相关部门之间联防联控责任与任务分工，联合开展突发环境污染事件处置应急演练，提高联防联控实战能力。严格控制沿黄区域、黄河干支流、饮用水源地周边范围内企业环境风险，落实环境风险预警和防范措施。</w:t>
                  </w:r>
                </w:p>
              </w:tc>
              <w:tc>
                <w:tcPr>
                  <w:tcW w:w="1141" w:type="pct"/>
                  <w:vMerge w:val="restart"/>
                  <w:tcBorders>
                    <w:tl2br w:val="nil"/>
                    <w:tr2bl w:val="nil"/>
                  </w:tcBorders>
                  <w:noWrap w:val="0"/>
                  <w:vAlign w:val="center"/>
                </w:tcPr>
                <w:p>
                  <w:pPr>
                    <w:pStyle w:val="91"/>
                    <w:bidi w:val="0"/>
                    <w:ind w:firstLine="476"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遵守中卫市联防联控要求，企业在验收前完成突发事件环境风险应急预案编制，推进突发环境事件风险分类分级管理，严格重大突发环境事件风险企业监管。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vMerge w:val="continue"/>
                  <w:tcBorders>
                    <w:tl2br w:val="nil"/>
                    <w:tr2bl w:val="nil"/>
                  </w:tcBorders>
                  <w:noWrap w:val="0"/>
                  <w:vAlign w:val="center"/>
                </w:tcPr>
                <w:p>
                  <w:pPr>
                    <w:pStyle w:val="91"/>
                    <w:bidi w:val="0"/>
                    <w:rPr>
                      <w:rFonts w:hint="default" w:ascii="Times New Roman" w:hAnsi="Times New Roman" w:eastAsia="宋体" w:cs="Times New Roman"/>
                      <w:color w:val="auto"/>
                      <w:sz w:val="21"/>
                      <w:szCs w:val="21"/>
                    </w:rPr>
                  </w:pPr>
                </w:p>
              </w:tc>
              <w:tc>
                <w:tcPr>
                  <w:tcW w:w="600" w:type="pct"/>
                  <w:tcBorders>
                    <w:tl2br w:val="nil"/>
                    <w:tr2bl w:val="nil"/>
                  </w:tcBorders>
                  <w:noWrap w:val="0"/>
                  <w:vAlign w:val="center"/>
                </w:tcPr>
                <w:p>
                  <w:pPr>
                    <w:pStyle w:val="91"/>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A3.2企业环境风险防控要求</w:t>
                  </w:r>
                </w:p>
              </w:tc>
              <w:tc>
                <w:tcPr>
                  <w:tcW w:w="2894" w:type="pct"/>
                  <w:tcBorders>
                    <w:tl2br w:val="nil"/>
                    <w:tr2bl w:val="nil"/>
                  </w:tcBorders>
                  <w:noWrap w:val="0"/>
                  <w:vAlign w:val="center"/>
                </w:tcPr>
                <w:p>
                  <w:pPr>
                    <w:pStyle w:val="91"/>
                    <w:bidi w:val="0"/>
                    <w:ind w:firstLine="476"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完善企业突发环境事件风险评估制度，推进突发环境事件风险分类分级管理，严格重大突发环境事件风险企业监管。</w:t>
                  </w:r>
                </w:p>
              </w:tc>
              <w:tc>
                <w:tcPr>
                  <w:tcW w:w="1141" w:type="pct"/>
                  <w:vMerge w:val="continue"/>
                  <w:tcBorders>
                    <w:tl2br w:val="nil"/>
                    <w:tr2bl w:val="nil"/>
                  </w:tcBorders>
                  <w:noWrap w:val="0"/>
                  <w:vAlign w:val="center"/>
                </w:tcPr>
                <w:p>
                  <w:pPr>
                    <w:pStyle w:val="91"/>
                    <w:bidi w:val="0"/>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63" w:type="pct"/>
                  <w:vMerge w:val="restart"/>
                  <w:tcBorders>
                    <w:tl2br w:val="nil"/>
                    <w:tr2bl w:val="nil"/>
                  </w:tcBorders>
                  <w:noWrap w:val="0"/>
                  <w:vAlign w:val="center"/>
                </w:tcPr>
                <w:p>
                  <w:pPr>
                    <w:pStyle w:val="91"/>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A4资源利用效率要求</w:t>
                  </w:r>
                </w:p>
              </w:tc>
              <w:tc>
                <w:tcPr>
                  <w:tcW w:w="600" w:type="pct"/>
                  <w:vMerge w:val="restart"/>
                  <w:tcBorders>
                    <w:tl2br w:val="nil"/>
                    <w:tr2bl w:val="nil"/>
                  </w:tcBorders>
                  <w:noWrap w:val="0"/>
                  <w:vAlign w:val="center"/>
                </w:tcPr>
                <w:p>
                  <w:pPr>
                    <w:pStyle w:val="91"/>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A4.1能源利用总量及效率要求</w:t>
                  </w:r>
                </w:p>
              </w:tc>
              <w:tc>
                <w:tcPr>
                  <w:tcW w:w="2894" w:type="pct"/>
                  <w:tcBorders>
                    <w:tl2br w:val="nil"/>
                    <w:tr2bl w:val="nil"/>
                  </w:tcBorders>
                  <w:noWrap w:val="0"/>
                  <w:vAlign w:val="center"/>
                </w:tcPr>
                <w:p>
                  <w:pPr>
                    <w:pStyle w:val="91"/>
                    <w:bidi w:val="0"/>
                    <w:ind w:firstLine="476"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全面贯彻落实国家和自治区下达煤炭消费总量目标，严格控制耗煤行业煤炭新增量，新增产能必须符合国内先进能效标准。</w:t>
                  </w:r>
                </w:p>
              </w:tc>
              <w:tc>
                <w:tcPr>
                  <w:tcW w:w="1141" w:type="pct"/>
                  <w:vMerge w:val="restart"/>
                  <w:tcBorders>
                    <w:tl2br w:val="nil"/>
                    <w:tr2bl w:val="nil"/>
                  </w:tcBorders>
                  <w:noWrap w:val="0"/>
                  <w:vAlign w:val="center"/>
                </w:tcPr>
                <w:p>
                  <w:pPr>
                    <w:pStyle w:val="91"/>
                    <w:bidi w:val="0"/>
                    <w:ind w:firstLine="476" w:firstLineChars="200"/>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本项目主要为</w:t>
                  </w:r>
                  <w:r>
                    <w:rPr>
                      <w:rFonts w:hint="default" w:ascii="Times New Roman" w:hAnsi="Times New Roman" w:eastAsia="宋体" w:cs="Times New Roman"/>
                      <w:color w:val="auto"/>
                      <w:kern w:val="0"/>
                      <w:sz w:val="21"/>
                      <w:szCs w:val="21"/>
                      <w:lang w:val="en-US" w:eastAsia="zh-CN" w:bidi="ar"/>
                    </w:rPr>
                    <w:t>机动车燃油零售行业</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不涉及煤炭行业</w:t>
                  </w:r>
                  <w:r>
                    <w:rPr>
                      <w:rFonts w:hint="default" w:ascii="Times New Roman" w:hAnsi="Times New Roman" w:eastAsia="宋体" w:cs="Times New Roman"/>
                      <w:color w:val="auto"/>
                      <w:sz w:val="21"/>
                      <w:szCs w:val="21"/>
                      <w:lang w:eastAsia="zh-CN"/>
                    </w:rPr>
                    <w:t>，用水总量符合</w:t>
                  </w:r>
                  <w:r>
                    <w:rPr>
                      <w:rFonts w:hint="eastAsia" w:cs="Times New Roman"/>
                      <w:color w:val="auto"/>
                      <w:sz w:val="21"/>
                      <w:szCs w:val="21"/>
                      <w:lang w:val="en-US" w:eastAsia="zh-CN"/>
                    </w:rPr>
                    <w:t>规范</w:t>
                  </w:r>
                  <w:r>
                    <w:rPr>
                      <w:rFonts w:hint="default" w:ascii="Times New Roman" w:hAnsi="Times New Roman" w:eastAsia="宋体" w:cs="Times New Roman"/>
                      <w:color w:val="auto"/>
                      <w:sz w:val="21"/>
                      <w:szCs w:val="21"/>
                      <w:lang w:eastAsia="zh-CN"/>
                    </w:rPr>
                    <w:t>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63" w:type="pct"/>
                  <w:vMerge w:val="continue"/>
                  <w:tcBorders>
                    <w:tl2br w:val="nil"/>
                    <w:tr2bl w:val="nil"/>
                  </w:tcBorders>
                  <w:noWrap w:val="0"/>
                  <w:vAlign w:val="center"/>
                </w:tcPr>
                <w:p>
                  <w:pPr>
                    <w:pStyle w:val="91"/>
                    <w:bidi w:val="0"/>
                    <w:rPr>
                      <w:color w:val="auto"/>
                    </w:rPr>
                  </w:pPr>
                </w:p>
              </w:tc>
              <w:tc>
                <w:tcPr>
                  <w:tcW w:w="600" w:type="pct"/>
                  <w:vMerge w:val="continue"/>
                  <w:tcBorders>
                    <w:tl2br w:val="nil"/>
                    <w:tr2bl w:val="nil"/>
                  </w:tcBorders>
                  <w:noWrap w:val="0"/>
                  <w:vAlign w:val="center"/>
                </w:tcPr>
                <w:p>
                  <w:pPr>
                    <w:pStyle w:val="91"/>
                    <w:bidi w:val="0"/>
                    <w:rPr>
                      <w:color w:val="auto"/>
                    </w:rPr>
                  </w:pPr>
                </w:p>
              </w:tc>
              <w:tc>
                <w:tcPr>
                  <w:tcW w:w="2894" w:type="pct"/>
                  <w:tcBorders>
                    <w:tl2br w:val="nil"/>
                    <w:tr2bl w:val="nil"/>
                  </w:tcBorders>
                  <w:noWrap w:val="0"/>
                  <w:vAlign w:val="center"/>
                </w:tcPr>
                <w:p>
                  <w:pPr>
                    <w:pStyle w:val="91"/>
                    <w:bidi w:val="0"/>
                    <w:ind w:firstLine="476"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新建、改建、扩建耗煤项目(除煤化工、火电外)一律实施煤炭等量置换，重点控制区及环境质量不达标地区实行减量置换。</w:t>
                  </w:r>
                </w:p>
              </w:tc>
              <w:tc>
                <w:tcPr>
                  <w:tcW w:w="1141" w:type="pct"/>
                  <w:vMerge w:val="continue"/>
                  <w:tcBorders>
                    <w:tl2br w:val="nil"/>
                    <w:tr2bl w:val="nil"/>
                  </w:tcBorders>
                  <w:noWrap w:val="0"/>
                  <w:vAlign w:val="center"/>
                </w:tcPr>
                <w:p>
                  <w:pPr>
                    <w:pStyle w:val="91"/>
                    <w:bidi w:val="0"/>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vMerge w:val="continue"/>
                  <w:tcBorders>
                    <w:tl2br w:val="nil"/>
                    <w:tr2bl w:val="nil"/>
                  </w:tcBorders>
                  <w:noWrap w:val="0"/>
                  <w:vAlign w:val="center"/>
                </w:tcPr>
                <w:p>
                  <w:pPr>
                    <w:pStyle w:val="91"/>
                    <w:bidi w:val="0"/>
                    <w:rPr>
                      <w:rFonts w:hint="default" w:ascii="Times New Roman" w:hAnsi="Times New Roman" w:eastAsia="宋体" w:cs="Times New Roman"/>
                      <w:color w:val="auto"/>
                      <w:sz w:val="21"/>
                      <w:szCs w:val="21"/>
                    </w:rPr>
                  </w:pPr>
                </w:p>
              </w:tc>
              <w:tc>
                <w:tcPr>
                  <w:tcW w:w="600" w:type="pct"/>
                  <w:tcBorders>
                    <w:tl2br w:val="nil"/>
                    <w:tr2bl w:val="nil"/>
                  </w:tcBorders>
                  <w:noWrap w:val="0"/>
                  <w:vAlign w:val="center"/>
                </w:tcPr>
                <w:p>
                  <w:pPr>
                    <w:pStyle w:val="91"/>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A4.2水资源利用总量及效率要求</w:t>
                  </w:r>
                </w:p>
              </w:tc>
              <w:tc>
                <w:tcPr>
                  <w:tcW w:w="2894" w:type="pct"/>
                  <w:tcBorders>
                    <w:tl2br w:val="nil"/>
                    <w:tr2bl w:val="nil"/>
                  </w:tcBorders>
                  <w:noWrap w:val="0"/>
                  <w:vAlign w:val="center"/>
                </w:tcPr>
                <w:p>
                  <w:pPr>
                    <w:pStyle w:val="91"/>
                    <w:bidi w:val="0"/>
                    <w:ind w:firstLine="476" w:firstLineChars="200"/>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建立水资源刚性约束制度，严格准入条件，按照地区取水总量限值审核新、改、扩建项目，取水总量不得超过地区水资源取用，上限或承载能力。</w:t>
                  </w:r>
                </w:p>
              </w:tc>
              <w:tc>
                <w:tcPr>
                  <w:tcW w:w="1141" w:type="pct"/>
                  <w:vMerge w:val="continue"/>
                  <w:tcBorders>
                    <w:tl2br w:val="nil"/>
                    <w:tr2bl w:val="nil"/>
                  </w:tcBorders>
                  <w:noWrap w:val="0"/>
                  <w:vAlign w:val="center"/>
                </w:tcPr>
                <w:p>
                  <w:pPr>
                    <w:pStyle w:val="91"/>
                    <w:bidi w:val="0"/>
                    <w:rPr>
                      <w:rFonts w:hint="default" w:ascii="Times New Roman" w:hAnsi="Times New Roman" w:eastAsia="宋体" w:cs="Times New Roman"/>
                      <w:color w:val="auto"/>
                      <w:sz w:val="21"/>
                      <w:szCs w:val="21"/>
                      <w:lang w:eastAsia="zh-CN"/>
                    </w:rPr>
                  </w:pPr>
                </w:p>
              </w:tc>
            </w:tr>
          </w:tbl>
          <w:p>
            <w:pPr>
              <w:pStyle w:val="6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color w:val="auto"/>
                <w:sz w:val="24"/>
                <w:szCs w:val="24"/>
                <w:lang w:val="en-US" w:eastAsia="zh-CN"/>
              </w:rPr>
            </w:pPr>
            <w:r>
              <w:rPr>
                <w:rFonts w:hint="default" w:ascii="Times New Roman" w:hAnsi="Times New Roman" w:eastAsia="黑体" w:cs="Times New Roman"/>
                <w:b w:val="0"/>
                <w:bCs/>
                <w:color w:val="auto"/>
                <w:sz w:val="24"/>
                <w:szCs w:val="24"/>
              </w:rPr>
              <w:t>表</w:t>
            </w:r>
            <w:r>
              <w:rPr>
                <w:rFonts w:hint="eastAsia" w:eastAsia="黑体" w:cs="Times New Roman"/>
                <w:b w:val="0"/>
                <w:bCs/>
                <w:color w:val="auto"/>
                <w:sz w:val="24"/>
                <w:szCs w:val="24"/>
                <w:lang w:val="en-US" w:eastAsia="zh-CN"/>
              </w:rPr>
              <w:t>1-</w:t>
            </w:r>
            <w:r>
              <w:rPr>
                <w:rFonts w:hint="default" w:ascii="Times New Roman" w:hAnsi="Times New Roman" w:eastAsia="黑体" w:cs="Times New Roman"/>
                <w:b w:val="0"/>
                <w:bCs/>
                <w:color w:val="auto"/>
                <w:sz w:val="24"/>
                <w:szCs w:val="24"/>
              </w:rPr>
              <w:t>3</w:t>
            </w:r>
            <w:r>
              <w:rPr>
                <w:rFonts w:hint="default" w:ascii="Times New Roman" w:hAnsi="Times New Roman" w:eastAsia="黑体" w:cs="Times New Roman"/>
                <w:b w:val="0"/>
                <w:bCs/>
                <w:color w:val="auto"/>
                <w:sz w:val="24"/>
                <w:szCs w:val="24"/>
                <w:lang w:val="en-US" w:eastAsia="zh-CN"/>
              </w:rPr>
              <w:t xml:space="preserve"> </w:t>
            </w:r>
            <w:r>
              <w:rPr>
                <w:rFonts w:hint="default" w:ascii="Times New Roman" w:hAnsi="Times New Roman" w:eastAsia="黑体" w:cs="Times New Roman"/>
                <w:b w:val="0"/>
                <w:bCs/>
                <w:color w:val="auto"/>
                <w:sz w:val="24"/>
                <w:szCs w:val="24"/>
              </w:rPr>
              <w:t xml:space="preserve"> 中卫市生态环境准入清单一览表</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4"/>
              <w:gridCol w:w="803"/>
              <w:gridCol w:w="5189"/>
              <w:gridCol w:w="22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3"/>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中卫市环境管控单元生态环境准入清单</w:t>
                  </w:r>
                </w:p>
              </w:tc>
              <w:tc>
                <w:tcPr>
                  <w:tcW w:w="0" w:type="auto"/>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本项目情况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2"/>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rPr>
                    <w:t>序号</w:t>
                  </w:r>
                </w:p>
              </w:tc>
              <w:tc>
                <w:tcPr>
                  <w:tcW w:w="0" w:type="auto"/>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ZH64052120005</w:t>
                  </w:r>
                </w:p>
              </w:tc>
              <w:tc>
                <w:tcPr>
                  <w:tcW w:w="0" w:type="auto"/>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2"/>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环境管控单元名称</w:t>
                  </w:r>
                </w:p>
              </w:tc>
              <w:tc>
                <w:tcPr>
                  <w:tcW w:w="0" w:type="auto"/>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中宁县宁安镇</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新堡镇重点管控单元</w:t>
                  </w:r>
                </w:p>
              </w:tc>
              <w:tc>
                <w:tcPr>
                  <w:tcW w:w="0" w:type="auto"/>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2"/>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rPr>
                    <w:t>行政区划</w:t>
                  </w:r>
                </w:p>
              </w:tc>
              <w:tc>
                <w:tcPr>
                  <w:tcW w:w="0" w:type="auto"/>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宁夏回族自治区—中卫市—中宁县</w:t>
                  </w:r>
                </w:p>
              </w:tc>
              <w:tc>
                <w:tcPr>
                  <w:tcW w:w="0" w:type="auto"/>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新堡镇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2"/>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rPr>
                    <w:t>要素属性</w:t>
                  </w:r>
                </w:p>
              </w:tc>
              <w:tc>
                <w:tcPr>
                  <w:tcW w:w="0" w:type="auto"/>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大气环境受体敏感</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高污染燃料禁燃区</w:t>
                  </w:r>
                </w:p>
              </w:tc>
              <w:tc>
                <w:tcPr>
                  <w:tcW w:w="0" w:type="auto"/>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2"/>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rPr>
                    <w:t>管控单元分类</w:t>
                  </w:r>
                </w:p>
              </w:tc>
              <w:tc>
                <w:tcPr>
                  <w:tcW w:w="0" w:type="auto"/>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重点管控单元</w:t>
                  </w:r>
                </w:p>
              </w:tc>
              <w:tc>
                <w:tcPr>
                  <w:tcW w:w="0" w:type="auto"/>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0" w:type="auto"/>
                  <w:vMerge w:val="restart"/>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管</w:t>
                  </w:r>
                </w:p>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控</w:t>
                  </w:r>
                </w:p>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要</w:t>
                  </w:r>
                </w:p>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求</w:t>
                  </w:r>
                </w:p>
              </w:tc>
              <w:tc>
                <w:tcPr>
                  <w:tcW w:w="0" w:type="auto"/>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rPr>
                    <w:t>空间布局约束</w:t>
                  </w:r>
                </w:p>
              </w:tc>
              <w:tc>
                <w:tcPr>
                  <w:tcW w:w="0" w:type="auto"/>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1.严格限制建材、水泥等行业新建项目。</w:t>
                  </w:r>
                </w:p>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2.对区域内建材、水泥行业“散乱污”企业根据实际情况采取关停或搬迁入园措施。</w:t>
                  </w:r>
                </w:p>
              </w:tc>
              <w:tc>
                <w:tcPr>
                  <w:tcW w:w="0" w:type="auto"/>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本项目为</w:t>
                  </w:r>
                  <w:r>
                    <w:rPr>
                      <w:rFonts w:hint="default" w:cs="Times New Roman"/>
                      <w:b w:val="0"/>
                      <w:bCs w:val="0"/>
                      <w:color w:val="auto"/>
                      <w:sz w:val="21"/>
                      <w:szCs w:val="21"/>
                      <w:vertAlign w:val="baseline"/>
                      <w:lang w:val="en-US" w:eastAsia="zh-CN"/>
                    </w:rPr>
                    <w:t>机动车燃油零售行业</w:t>
                  </w:r>
                  <w:r>
                    <w:rPr>
                      <w:rFonts w:hint="eastAsia" w:cs="Times New Roman"/>
                      <w:b w:val="0"/>
                      <w:bCs w:val="0"/>
                      <w:color w:val="auto"/>
                      <w:sz w:val="21"/>
                      <w:szCs w:val="21"/>
                      <w:vertAlign w:val="baseline"/>
                      <w:lang w:val="en-US" w:eastAsia="zh-CN"/>
                    </w:rPr>
                    <w:t>不涉及建材、水泥等行业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p>
              </w:tc>
              <w:tc>
                <w:tcPr>
                  <w:tcW w:w="0" w:type="auto"/>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污染物</w:t>
                  </w:r>
                </w:p>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rPr>
                    <w:t>排放管控</w:t>
                  </w:r>
                </w:p>
              </w:tc>
              <w:tc>
                <w:tcPr>
                  <w:tcW w:w="0" w:type="auto"/>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1.新建、改建、扩建水泥、建材等行业项目应实施主要大气污染物倍量替代。</w:t>
                  </w:r>
                </w:p>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2.加快城市建成区及周边区域污水收集管网的建设，防止生活污水未经处理直排入地表水体。</w:t>
                  </w:r>
                </w:p>
              </w:tc>
              <w:tc>
                <w:tcPr>
                  <w:tcW w:w="0" w:type="auto"/>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本项目为新建项目</w:t>
                  </w:r>
                  <w:r>
                    <w:rPr>
                      <w:rFonts w:hint="eastAsia" w:cs="Times New Roman"/>
                      <w:b w:val="0"/>
                      <w:bCs w:val="0"/>
                      <w:color w:val="auto"/>
                      <w:sz w:val="21"/>
                      <w:szCs w:val="21"/>
                      <w:vertAlign w:val="baseline"/>
                      <w:lang w:val="en-US" w:eastAsia="zh-CN"/>
                    </w:rPr>
                    <w:t>但</w:t>
                  </w:r>
                  <w:r>
                    <w:rPr>
                      <w:rFonts w:hint="default" w:ascii="Times New Roman" w:hAnsi="Times New Roman" w:eastAsia="宋体" w:cs="Times New Roman"/>
                      <w:b w:val="0"/>
                      <w:bCs w:val="0"/>
                      <w:color w:val="auto"/>
                      <w:sz w:val="21"/>
                      <w:szCs w:val="21"/>
                      <w:vertAlign w:val="baseline"/>
                    </w:rPr>
                    <w:t>不涉及</w:t>
                  </w:r>
                  <w:r>
                    <w:rPr>
                      <w:rFonts w:hint="eastAsia" w:cs="Times New Roman"/>
                      <w:b w:val="0"/>
                      <w:bCs w:val="0"/>
                      <w:color w:val="auto"/>
                      <w:sz w:val="21"/>
                      <w:szCs w:val="21"/>
                      <w:vertAlign w:val="baseline"/>
                      <w:lang w:val="en-US" w:eastAsia="zh-CN"/>
                    </w:rPr>
                    <w:t>水泥、建材等行业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p>
              </w:tc>
              <w:tc>
                <w:tcPr>
                  <w:tcW w:w="0" w:type="auto"/>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rPr>
                    <w:t>环境风险防范</w:t>
                  </w:r>
                </w:p>
              </w:tc>
              <w:tc>
                <w:tcPr>
                  <w:tcW w:w="0" w:type="auto"/>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val="0"/>
                    <w:spacing w:line="240" w:lineRule="auto"/>
                    <w:ind w:firstLine="452" w:firstLineChars="200"/>
                    <w:jc w:val="left"/>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单元内废水产生量较大的企业应配套有效措施，防止因渗漏污染地下水、土壤，以及因事故造成废水直排污染地表</w:t>
                  </w:r>
                  <w:r>
                    <w:rPr>
                      <w:rFonts w:hint="eastAsia" w:cs="Times New Roman"/>
                      <w:b w:val="0"/>
                      <w:bCs w:val="0"/>
                      <w:color w:val="auto"/>
                      <w:sz w:val="21"/>
                      <w:szCs w:val="21"/>
                      <w:vertAlign w:val="baseline"/>
                      <w:lang w:val="en-US" w:eastAsia="zh-CN"/>
                    </w:rPr>
                    <w:t>水</w:t>
                  </w:r>
                  <w:r>
                    <w:rPr>
                      <w:rFonts w:hint="default" w:ascii="Times New Roman" w:hAnsi="Times New Roman" w:eastAsia="宋体" w:cs="Times New Roman"/>
                      <w:b w:val="0"/>
                      <w:bCs w:val="0"/>
                      <w:color w:val="auto"/>
                      <w:sz w:val="21"/>
                      <w:szCs w:val="21"/>
                      <w:vertAlign w:val="baseline"/>
                    </w:rPr>
                    <w:t>体。</w:t>
                  </w:r>
                </w:p>
              </w:tc>
              <w:tc>
                <w:tcPr>
                  <w:tcW w:w="0" w:type="auto"/>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本项目及存在少量生活污水定期清理，无生产废水产生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p>
              </w:tc>
              <w:tc>
                <w:tcPr>
                  <w:tcW w:w="0" w:type="auto"/>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rPr>
                    <w:t>资源开发效率</w:t>
                  </w:r>
                </w:p>
              </w:tc>
              <w:tc>
                <w:tcPr>
                  <w:tcW w:w="0" w:type="auto"/>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val="0"/>
                    <w:spacing w:line="240" w:lineRule="auto"/>
                    <w:ind w:firstLine="452" w:firstLineChars="200"/>
                    <w:jc w:val="left"/>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高污染燃料禁燃区内任何单位不得新建、扩建高污染燃料燃用设施，逐步取消禁燃区内的高污染燃料销售网点。</w:t>
                  </w:r>
                </w:p>
              </w:tc>
              <w:tc>
                <w:tcPr>
                  <w:tcW w:w="0" w:type="auto"/>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rPr>
                  </w:pPr>
                  <w:r>
                    <w:rPr>
                      <w:rFonts w:hint="eastAsia" w:cs="Times New Roman"/>
                      <w:b w:val="0"/>
                      <w:bCs w:val="0"/>
                      <w:color w:val="auto"/>
                      <w:sz w:val="21"/>
                      <w:szCs w:val="21"/>
                      <w:vertAlign w:val="baseline"/>
                      <w:lang w:val="en-US" w:eastAsia="zh-CN"/>
                    </w:rPr>
                    <w:t>本项目不涉及</w:t>
                  </w:r>
                  <w:r>
                    <w:rPr>
                      <w:rFonts w:hint="default" w:ascii="Times New Roman" w:hAnsi="Times New Roman" w:eastAsia="宋体" w:cs="Times New Roman"/>
                      <w:b w:val="0"/>
                      <w:bCs w:val="0"/>
                      <w:color w:val="auto"/>
                      <w:sz w:val="21"/>
                      <w:szCs w:val="21"/>
                      <w:vertAlign w:val="baseline"/>
                    </w:rPr>
                    <w:t>高污染燃料燃用设施</w:t>
                  </w:r>
                </w:p>
              </w:tc>
            </w:tr>
          </w:tbl>
          <w:p>
            <w:pPr>
              <w:pStyle w:val="62"/>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eastAsia="宋体" w:cs="Times New Roman"/>
                <w:b w:val="0"/>
                <w:color w:val="auto"/>
                <w:sz w:val="24"/>
                <w:szCs w:val="24"/>
              </w:rPr>
            </w:pPr>
            <w:r>
              <w:rPr>
                <w:rFonts w:hint="default" w:ascii="Times New Roman" w:hAnsi="Times New Roman" w:eastAsia="宋体" w:cs="Times New Roman"/>
                <w:b w:val="0"/>
                <w:color w:val="auto"/>
                <w:sz w:val="24"/>
                <w:szCs w:val="24"/>
              </w:rPr>
              <w:t>综上所述，项目的建设符合“三线一清单”相关要求。</w:t>
            </w:r>
          </w:p>
          <w:p>
            <w:pPr>
              <w:pStyle w:val="6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eastAsia="黑体"/>
                <w:b w:val="0"/>
                <w:color w:val="auto"/>
                <w:sz w:val="24"/>
                <w:szCs w:val="24"/>
              </w:rPr>
            </w:pPr>
            <w:r>
              <w:rPr>
                <w:rFonts w:hint="eastAsia" w:eastAsia="黑体"/>
                <w:b w:val="0"/>
                <w:color w:val="auto"/>
                <w:sz w:val="24"/>
                <w:szCs w:val="24"/>
                <w:lang w:val="en-US" w:eastAsia="zh-CN"/>
              </w:rPr>
              <w:t>2</w:t>
            </w:r>
            <w:r>
              <w:rPr>
                <w:rFonts w:hint="eastAsia" w:eastAsia="黑体"/>
                <w:b w:val="0"/>
                <w:color w:val="auto"/>
                <w:sz w:val="24"/>
                <w:szCs w:val="24"/>
              </w:rPr>
              <w:t xml:space="preserve">、项目与国家产业政策符合性分析 </w:t>
            </w:r>
          </w:p>
          <w:p>
            <w:pPr>
              <w:pStyle w:val="62"/>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根据《产业结构调整指导目录（2019 年本）》分析，项目不属于限制类、淘汰类项目。202</w:t>
            </w:r>
            <w:r>
              <w:rPr>
                <w:rFonts w:hint="default"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rPr>
              <w:t>年11月</w:t>
            </w:r>
            <w:r>
              <w:rPr>
                <w:rFonts w:hint="default" w:ascii="Times New Roman" w:hAnsi="Times New Roman" w:eastAsia="宋体" w:cs="Times New Roman"/>
                <w:b w:val="0"/>
                <w:bCs w:val="0"/>
                <w:color w:val="auto"/>
                <w:sz w:val="24"/>
                <w:szCs w:val="24"/>
                <w:lang w:val="en-US" w:eastAsia="zh-CN"/>
              </w:rPr>
              <w:t>28</w:t>
            </w:r>
            <w:r>
              <w:rPr>
                <w:rFonts w:hint="default" w:ascii="Times New Roman" w:hAnsi="Times New Roman" w:eastAsia="宋体" w:cs="Times New Roman"/>
                <w:b w:val="0"/>
                <w:bCs w:val="0"/>
                <w:color w:val="auto"/>
                <w:sz w:val="24"/>
                <w:szCs w:val="24"/>
              </w:rPr>
              <w:t>日，</w:t>
            </w:r>
            <w:r>
              <w:rPr>
                <w:rFonts w:hint="default" w:ascii="Times New Roman" w:hAnsi="Times New Roman" w:eastAsia="宋体" w:cs="Times New Roman"/>
                <w:b w:val="0"/>
                <w:bCs w:val="0"/>
                <w:color w:val="auto"/>
                <w:sz w:val="24"/>
                <w:szCs w:val="24"/>
                <w:lang w:val="en-US" w:eastAsia="zh-CN"/>
              </w:rPr>
              <w:t>中宁县商务和投资促进局</w:t>
            </w:r>
            <w:r>
              <w:rPr>
                <w:rFonts w:hint="default" w:ascii="Times New Roman" w:hAnsi="Times New Roman" w:eastAsia="宋体" w:cs="Times New Roman"/>
                <w:b w:val="0"/>
                <w:bCs w:val="0"/>
                <w:color w:val="auto"/>
                <w:sz w:val="24"/>
                <w:szCs w:val="24"/>
              </w:rPr>
              <w:t>出具了</w:t>
            </w:r>
            <w:r>
              <w:rPr>
                <w:rFonts w:hint="default" w:ascii="Times New Roman" w:hAnsi="Times New Roman" w:eastAsia="宋体" w:cs="Times New Roman"/>
                <w:b w:val="0"/>
                <w:bCs w:val="0"/>
                <w:color w:val="auto"/>
                <w:sz w:val="24"/>
              </w:rPr>
              <w:t>宁夏中宁宁新实业有限公司新堡加油站改扩建项目</w:t>
            </w:r>
            <w:r>
              <w:rPr>
                <w:rFonts w:hint="default" w:ascii="Times New Roman" w:hAnsi="Times New Roman" w:eastAsia="宋体" w:cs="Times New Roman"/>
                <w:b w:val="0"/>
                <w:bCs w:val="0"/>
                <w:color w:val="auto"/>
                <w:sz w:val="24"/>
                <w:lang w:val="en-US" w:eastAsia="zh-CN"/>
              </w:rPr>
              <w:t>备案通知书</w:t>
            </w:r>
            <w:r>
              <w:rPr>
                <w:rFonts w:hint="default" w:ascii="Times New Roman" w:hAnsi="Times New Roman" w:eastAsia="宋体" w:cs="Times New Roman"/>
                <w:b w:val="0"/>
                <w:bCs w:val="0"/>
                <w:color w:val="auto"/>
                <w:sz w:val="24"/>
                <w:szCs w:val="24"/>
              </w:rPr>
              <w:t>，项目符合国家产业政策。</w:t>
            </w:r>
          </w:p>
          <w:p>
            <w:pPr>
              <w:pStyle w:val="62"/>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对照《宁夏回族自治区企业投资项目核准、限制和淘汰产业目</w:t>
            </w:r>
            <w:r>
              <w:rPr>
                <w:rFonts w:hint="eastAsia" w:ascii="Times New Roman" w:hAnsi="Times New Roman" w:eastAsia="宋体" w:cs="Times New Roman"/>
                <w:b w:val="0"/>
                <w:bCs w:val="0"/>
                <w:color w:val="auto"/>
                <w:sz w:val="24"/>
                <w:szCs w:val="24"/>
                <w:lang w:val="en-US" w:eastAsia="zh-CN"/>
              </w:rPr>
              <w:t>录</w:t>
            </w:r>
            <w:r>
              <w:rPr>
                <w:rFonts w:hint="eastAsia"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2014年本</w:t>
            </w:r>
            <w:r>
              <w:rPr>
                <w:rFonts w:hint="eastAsia"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》，本项目未列入限制淘汰产业目录；对照《宁夏回族自治区国家重点生态功能区产业准入负面清单(试行)》，选址未列入国家重点生态功能区，综上所述，本项目不属于禁止引入项目。</w:t>
            </w:r>
          </w:p>
          <w:p>
            <w:pPr>
              <w:pStyle w:val="62"/>
              <w:keepNext w:val="0"/>
              <w:keepLines w:val="0"/>
              <w:pageBreakBefore w:val="0"/>
              <w:widowControl w:val="0"/>
              <w:kinsoku/>
              <w:wordWrap/>
              <w:overflowPunct/>
              <w:topLinePunct w:val="0"/>
              <w:autoSpaceDE/>
              <w:autoSpaceDN/>
              <w:bidi w:val="0"/>
              <w:adjustRightInd/>
              <w:snapToGrid/>
              <w:spacing w:line="240" w:lineRule="auto"/>
              <w:ind w:left="0" w:leftChars="0" w:firstLine="512"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综上，项目的建设符合国家产业政策的要求。</w:t>
            </w:r>
          </w:p>
          <w:p>
            <w:pPr>
              <w:pStyle w:val="6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黑体" w:cs="Times New Roman"/>
                <w:b w:val="0"/>
                <w:bCs w:val="0"/>
                <w:color w:val="auto"/>
                <w:sz w:val="24"/>
                <w:szCs w:val="24"/>
                <w:lang w:val="en-US" w:eastAsia="zh-CN"/>
              </w:rPr>
              <w:t>3、项目与《宁夏回族自治区生态环境保护“十四五”规划》(宁政办发〔2021〕59号)符合性分析</w:t>
            </w:r>
          </w:p>
          <w:p>
            <w:pPr>
              <w:pStyle w:val="62"/>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cs="Times New Roman"/>
                <w:b w:val="0"/>
                <w:bCs w:val="0"/>
                <w:color w:val="auto"/>
                <w:sz w:val="24"/>
                <w:szCs w:val="24"/>
                <w:lang w:val="en-US" w:eastAsia="zh-CN"/>
              </w:rPr>
            </w:pPr>
            <w:r>
              <w:rPr>
                <w:rFonts w:hint="eastAsia" w:cs="Times New Roman"/>
                <w:b w:val="0"/>
                <w:bCs w:val="0"/>
                <w:color w:val="auto"/>
                <w:sz w:val="24"/>
                <w:szCs w:val="24"/>
                <w:lang w:val="en-US" w:eastAsia="zh-CN"/>
              </w:rPr>
              <w:t>根据《宁夏回族自治区生态环境保护“十四五”规划》(宁政办发〔2021〕59号)第五条、加强协同治理，改善环境空气质量中“深化汽尘污染治理”的要求，严格执行汽柴油质量标准，加强油品监管执法，严厉打击黑加油站和非标油生产企业，对年销售汽油量5000吨以上在营加油站安装油气回收自动监控设备并与生态环境部门联网，加强油罐车油气回收系统检测监管。</w:t>
            </w:r>
          </w:p>
          <w:p>
            <w:pPr>
              <w:pStyle w:val="62"/>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年销售汽油量小于5000吨，项目加油区设有油气回收系统，对生产过程中产生的非甲烷总烃进行回收利用，定期对油气回收设施维护，确保油气回收系统正常运转，污染物稳定达标排放。因此，项目符合该工作的方案的目标和要求。</w:t>
            </w:r>
          </w:p>
          <w:p>
            <w:pPr>
              <w:pStyle w:val="6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黑体" w:cs="Times New Roman"/>
                <w:b w:val="0"/>
                <w:bCs w:val="0"/>
                <w:color w:val="auto"/>
                <w:sz w:val="24"/>
                <w:szCs w:val="24"/>
                <w:lang w:val="en-US" w:eastAsia="zh-CN"/>
              </w:rPr>
              <w:t>4、与《重点行业挥发性有机物综合治理方案》符合性分析</w:t>
            </w:r>
          </w:p>
          <w:p>
            <w:pPr>
              <w:pStyle w:val="62"/>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依据《重点行业挥发性有机物综合治理方案》（环大气〔2019〕53号）文中：重点行业油品储运销VOCs综合治理应深化加油站油气回收工作，O</w:t>
            </w:r>
            <w:r>
              <w:rPr>
                <w:rFonts w:hint="eastAsia" w:cs="Times New Roman"/>
                <w:b w:val="0"/>
                <w:bCs w:val="0"/>
                <w:color w:val="auto"/>
                <w:sz w:val="24"/>
                <w:szCs w:val="24"/>
                <w:vertAlign w:val="subscript"/>
                <w:lang w:val="en-US" w:eastAsia="zh-CN"/>
              </w:rPr>
              <w:t>3</w:t>
            </w:r>
            <w:r>
              <w:rPr>
                <w:rFonts w:hint="eastAsia" w:cs="Times New Roman"/>
                <w:b w:val="0"/>
                <w:bCs w:val="0"/>
                <w:color w:val="auto"/>
                <w:sz w:val="24"/>
                <w:szCs w:val="24"/>
                <w:lang w:val="en-US" w:eastAsia="zh-CN"/>
              </w:rPr>
              <w:t>污染较重的地区，行政区域内大力推进加油站储油、加油油气回收治理工作，重点区域2019年年底前基本完成。埋地油罐全面采用电子液位仪进行汽油密闭测量。规范油气回收设施运行，自行或聘请第三方加强加油枪气液比、系统密闭性及管线液阻等检查，提高检测频次，重点区域原则上每半年开展一次，确保油气回收系统正常运行。</w:t>
            </w:r>
          </w:p>
          <w:p>
            <w:pPr>
              <w:pStyle w:val="62"/>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本项目设计2次油气回收装置，埋地油罐采用电子液位仪进行汽油密闭测量，加强加油枪气液比、系统密闭性及管线液阻等检查，确保油气回收系统正常运行，符合重点行业挥发性有机物综合治理方案。</w:t>
            </w:r>
          </w:p>
          <w:p>
            <w:pPr>
              <w:keepNext w:val="0"/>
              <w:keepLines w:val="0"/>
              <w:widowControl/>
              <w:suppressLineNumbers w:val="0"/>
              <w:jc w:val="left"/>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lang w:val="en-US" w:eastAsia="zh-CN"/>
              </w:rPr>
              <w:t>5、</w:t>
            </w:r>
            <w:r>
              <w:rPr>
                <w:rFonts w:hint="default" w:ascii="Times New Roman" w:hAnsi="Times New Roman" w:eastAsia="黑体" w:cs="Times New Roman"/>
                <w:b w:val="0"/>
                <w:bCs w:val="0"/>
                <w:color w:val="auto"/>
                <w:kern w:val="0"/>
                <w:sz w:val="24"/>
                <w:szCs w:val="24"/>
                <w:lang w:val="en-US" w:eastAsia="zh-CN" w:bidi="ar"/>
              </w:rPr>
              <w:t>选址合理性</w:t>
            </w:r>
            <w:r>
              <w:rPr>
                <w:rFonts w:hint="eastAsia" w:eastAsia="黑体" w:cs="Times New Roman"/>
                <w:b w:val="0"/>
                <w:bCs w:val="0"/>
                <w:color w:val="auto"/>
                <w:kern w:val="0"/>
                <w:sz w:val="24"/>
                <w:szCs w:val="24"/>
                <w:lang w:val="en-US" w:eastAsia="zh-CN" w:bidi="ar"/>
              </w:rPr>
              <w:t>分析</w:t>
            </w:r>
            <w:r>
              <w:rPr>
                <w:rFonts w:hint="default" w:ascii="Times New Roman" w:hAnsi="Times New Roman" w:eastAsia="黑体" w:cs="Times New Roman"/>
                <w:b w:val="0"/>
                <w:bCs w:val="0"/>
                <w:color w:val="auto"/>
                <w:kern w:val="0"/>
                <w:sz w:val="24"/>
                <w:szCs w:val="24"/>
                <w:lang w:val="en-US" w:eastAsia="zh-CN" w:bidi="ar"/>
              </w:rPr>
              <w:t xml:space="preserve"> </w:t>
            </w:r>
          </w:p>
          <w:p>
            <w:pPr>
              <w:keepNext w:val="0"/>
              <w:keepLines w:val="0"/>
              <w:widowControl/>
              <w:suppressLineNumbers w:val="0"/>
              <w:ind w:firstLine="512" w:firstLineChars="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①本加油站建设容积为</w:t>
            </w:r>
            <w:r>
              <w:rPr>
                <w:rFonts w:hint="eastAsia" w:ascii="Times New Roman" w:hAnsi="Times New Roman"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个</w:t>
            </w:r>
            <w:r>
              <w:rPr>
                <w:rFonts w:hint="eastAsia" w:ascii="Times New Roman" w:hAnsi="Times New Roman" w:eastAsia="宋体"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0m</w:t>
            </w:r>
            <w:r>
              <w:rPr>
                <w:rFonts w:hint="eastAsia" w:ascii="Times New Roman" w:hAnsi="Times New Roman" w:eastAsia="宋体" w:cs="Times New Roman"/>
                <w:color w:val="auto"/>
                <w:kern w:val="0"/>
                <w:sz w:val="24"/>
                <w:szCs w:val="24"/>
                <w:vertAlign w:val="superscript"/>
                <w:lang w:val="en-US" w:eastAsia="zh-CN" w:bidi="ar"/>
              </w:rPr>
              <w:t>3</w:t>
            </w:r>
            <w:r>
              <w:rPr>
                <w:rFonts w:hint="eastAsia" w:ascii="宋体" w:hAnsi="宋体" w:eastAsia="宋体" w:cs="宋体"/>
                <w:color w:val="auto"/>
                <w:kern w:val="0"/>
                <w:sz w:val="24"/>
                <w:szCs w:val="24"/>
                <w:lang w:val="en-US" w:eastAsia="zh-CN" w:bidi="ar"/>
              </w:rPr>
              <w:t>汽油储罐，</w:t>
            </w:r>
            <w:r>
              <w:rPr>
                <w:rFonts w:hint="eastAsia" w:ascii="Times New Roman" w:hAnsi="Times New Roman"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个</w:t>
            </w:r>
            <w:r>
              <w:rPr>
                <w:rFonts w:hint="eastAsia" w:ascii="Times New Roman" w:hAnsi="Times New Roman" w:eastAsia="宋体"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0m</w:t>
            </w:r>
            <w:r>
              <w:rPr>
                <w:rFonts w:hint="eastAsia" w:ascii="Times New Roman" w:hAnsi="Times New Roman" w:eastAsia="宋体" w:cs="Times New Roman"/>
                <w:color w:val="auto"/>
                <w:kern w:val="0"/>
                <w:sz w:val="24"/>
                <w:szCs w:val="24"/>
                <w:vertAlign w:val="superscript"/>
                <w:lang w:val="en-US" w:eastAsia="zh-CN" w:bidi="ar"/>
              </w:rPr>
              <w:t>3</w:t>
            </w:r>
            <w:r>
              <w:rPr>
                <w:rFonts w:hint="eastAsia" w:ascii="宋体" w:hAnsi="宋体" w:eastAsia="宋体" w:cs="宋体"/>
                <w:color w:val="auto"/>
                <w:kern w:val="0"/>
                <w:sz w:val="24"/>
                <w:szCs w:val="24"/>
                <w:lang w:val="en-US" w:eastAsia="zh-CN" w:bidi="ar"/>
              </w:rPr>
              <w:t>柴油储罐。根据《汽车加油加气加氢站技术标准》(</w:t>
            </w:r>
            <w:r>
              <w:rPr>
                <w:rFonts w:hint="default" w:ascii="Times New Roman" w:hAnsi="Times New Roman" w:eastAsia="宋体" w:cs="Times New Roman"/>
                <w:color w:val="auto"/>
                <w:kern w:val="0"/>
                <w:sz w:val="24"/>
                <w:szCs w:val="24"/>
                <w:lang w:val="en-US" w:eastAsia="zh-CN" w:bidi="ar"/>
              </w:rPr>
              <w:t>GB50516-2021</w:t>
            </w:r>
            <w:r>
              <w:rPr>
                <w:rFonts w:hint="eastAsia" w:ascii="宋体" w:hAnsi="宋体" w:eastAsia="宋体" w:cs="宋体"/>
                <w:color w:val="auto"/>
                <w:kern w:val="0"/>
                <w:sz w:val="24"/>
                <w:szCs w:val="24"/>
                <w:lang w:val="en-US" w:eastAsia="zh-CN" w:bidi="ar"/>
              </w:rPr>
              <w:t>)，柴油储罐容积可折半计入储罐总容积，即项目油品储罐总容积为</w:t>
            </w:r>
            <w:r>
              <w:rPr>
                <w:rFonts w:hint="default" w:ascii="Times New Roman" w:hAnsi="Times New Roman" w:eastAsia="宋体" w:cs="Times New Roman"/>
                <w:color w:val="auto"/>
                <w:kern w:val="0"/>
                <w:sz w:val="24"/>
                <w:szCs w:val="24"/>
                <w:lang w:val="en-US" w:eastAsia="zh-CN" w:bidi="ar"/>
              </w:rPr>
              <w:t>1</w:t>
            </w:r>
            <w:r>
              <w:rPr>
                <w:rFonts w:hint="eastAsia" w:ascii="Times New Roman" w:hAnsi="Times New Roman" w:eastAsia="宋体"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0m</w:t>
            </w:r>
            <w:r>
              <w:rPr>
                <w:rFonts w:hint="eastAsia" w:ascii="Times New Roman" w:hAnsi="Times New Roman" w:eastAsia="宋体" w:cs="Times New Roman"/>
                <w:color w:val="auto"/>
                <w:kern w:val="0"/>
                <w:sz w:val="24"/>
                <w:szCs w:val="24"/>
                <w:vertAlign w:val="superscript"/>
                <w:lang w:val="en-US" w:eastAsia="zh-CN" w:bidi="ar"/>
              </w:rPr>
              <w:t>3</w:t>
            </w:r>
            <w:r>
              <w:rPr>
                <w:rFonts w:hint="eastAsia" w:ascii="宋体" w:hAnsi="宋体" w:eastAsia="宋体" w:cs="宋体"/>
                <w:color w:val="auto"/>
                <w:kern w:val="0"/>
                <w:sz w:val="24"/>
                <w:szCs w:val="24"/>
                <w:lang w:val="en-US" w:eastAsia="zh-CN" w:bidi="ar"/>
              </w:rPr>
              <w:t>，依据《汽车加油加气加氢站技术标准》（</w:t>
            </w:r>
            <w:r>
              <w:rPr>
                <w:rFonts w:hint="default" w:ascii="Times New Roman" w:hAnsi="Times New Roman" w:eastAsia="宋体" w:cs="Times New Roman"/>
                <w:color w:val="auto"/>
                <w:kern w:val="0"/>
                <w:sz w:val="24"/>
                <w:szCs w:val="24"/>
                <w:lang w:val="en-US" w:eastAsia="zh-CN" w:bidi="ar"/>
              </w:rPr>
              <w:t>GB50516-2021</w:t>
            </w:r>
            <w:r>
              <w:rPr>
                <w:rFonts w:hint="eastAsia" w:ascii="宋体" w:hAnsi="宋体" w:eastAsia="宋体" w:cs="宋体"/>
                <w:color w:val="auto"/>
                <w:kern w:val="0"/>
                <w:sz w:val="24"/>
                <w:szCs w:val="24"/>
                <w:lang w:val="en-US" w:eastAsia="zh-CN" w:bidi="ar"/>
              </w:rPr>
              <w:t>）规定，属于二级加油站，对于加油站的分级见表</w:t>
            </w:r>
            <w:r>
              <w:rPr>
                <w:rFonts w:hint="default" w:ascii="Times New Roman" w:hAnsi="Times New Roman"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4</w:t>
            </w:r>
            <w:r>
              <w:rPr>
                <w:rFonts w:hint="eastAsia" w:ascii="宋体" w:hAnsi="宋体" w:eastAsia="宋体" w:cs="宋体"/>
                <w:color w:val="auto"/>
                <w:kern w:val="0"/>
                <w:sz w:val="24"/>
                <w:szCs w:val="24"/>
                <w:lang w:val="en-US" w:eastAsia="zh-CN" w:bidi="ar"/>
              </w:rPr>
              <w:t>。</w:t>
            </w:r>
          </w:p>
          <w:p>
            <w:pPr>
              <w:pStyle w:val="18"/>
              <w:jc w:val="center"/>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kern w:val="0"/>
                <w:sz w:val="24"/>
                <w:szCs w:val="24"/>
                <w:lang w:val="en-US" w:eastAsia="zh-CN" w:bidi="ar"/>
              </w:rPr>
              <w:t>表</w:t>
            </w:r>
            <w:r>
              <w:rPr>
                <w:rFonts w:hint="eastAsia" w:eastAsia="黑体" w:cs="Times New Roman"/>
                <w:color w:val="auto"/>
                <w:kern w:val="0"/>
                <w:sz w:val="24"/>
                <w:szCs w:val="24"/>
                <w:lang w:val="en-US" w:eastAsia="zh-CN" w:bidi="ar"/>
              </w:rPr>
              <w:t>1-</w:t>
            </w:r>
            <w:r>
              <w:rPr>
                <w:rFonts w:hint="default" w:ascii="Times New Roman" w:hAnsi="Times New Roman" w:eastAsia="黑体" w:cs="Times New Roman"/>
                <w:color w:val="auto"/>
                <w:kern w:val="0"/>
                <w:sz w:val="24"/>
                <w:szCs w:val="24"/>
                <w:lang w:val="en-US" w:eastAsia="zh-CN" w:bidi="ar"/>
              </w:rPr>
              <w:t>4  加油站等级划分</w:t>
            </w:r>
          </w:p>
          <w:tbl>
            <w:tblPr>
              <w:tblStyle w:val="27"/>
              <w:tblW w:w="4999"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88"/>
              <w:gridCol w:w="2893"/>
              <w:gridCol w:w="28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65" w:type="pct"/>
                  <w:vMerge w:val="restart"/>
                  <w:tcBorders>
                    <w:tl2br w:val="nil"/>
                    <w:tr2bl w:val="nil"/>
                  </w:tcBorders>
                  <w:vAlign w:val="center"/>
                </w:tcPr>
                <w:p>
                  <w:pPr>
                    <w:pStyle w:val="18"/>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级别</w:t>
                  </w:r>
                </w:p>
              </w:tc>
              <w:tc>
                <w:tcPr>
                  <w:tcW w:w="3334"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kern w:val="0"/>
                      <w:sz w:val="21"/>
                      <w:szCs w:val="21"/>
                      <w:lang w:val="en-US" w:eastAsia="zh-CN" w:bidi="ar"/>
                    </w:rPr>
                    <w:t>油罐容积（m</w:t>
                  </w:r>
                  <w:r>
                    <w:rPr>
                      <w:rFonts w:hint="default" w:ascii="Times New Roman" w:hAnsi="Times New Roman" w:eastAsia="宋体" w:cs="Times New Roman"/>
                      <w:b/>
                      <w:bCs/>
                      <w:color w:val="auto"/>
                      <w:kern w:val="0"/>
                      <w:sz w:val="21"/>
                      <w:szCs w:val="21"/>
                      <w:vertAlign w:val="superscript"/>
                      <w:lang w:val="en-US" w:eastAsia="zh-CN" w:bidi="ar"/>
                    </w:rPr>
                    <w:t>3</w:t>
                  </w:r>
                  <w:r>
                    <w:rPr>
                      <w:rFonts w:hint="default" w:ascii="Times New Roman" w:hAnsi="Times New Roman" w:eastAsia="宋体" w:cs="Times New Roman"/>
                      <w:b/>
                      <w:bCs/>
                      <w:color w:val="auto"/>
                      <w:kern w:val="0"/>
                      <w:sz w:val="21"/>
                      <w:szCs w:val="21"/>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65" w:type="pct"/>
                  <w:vMerge w:val="continue"/>
                  <w:tcBorders>
                    <w:tl2br w:val="nil"/>
                    <w:tr2bl w:val="nil"/>
                  </w:tcBorders>
                  <w:vAlign w:val="center"/>
                </w:tcPr>
                <w:p>
                  <w:pPr>
                    <w:pStyle w:val="18"/>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 w:val="21"/>
                      <w:szCs w:val="21"/>
                      <w:vertAlign w:val="baseline"/>
                    </w:rPr>
                  </w:pPr>
                </w:p>
              </w:tc>
              <w:tc>
                <w:tcPr>
                  <w:tcW w:w="1667" w:type="pct"/>
                  <w:tcBorders>
                    <w:tl2br w:val="nil"/>
                    <w:tr2bl w:val="nil"/>
                  </w:tcBorders>
                  <w:vAlign w:val="center"/>
                </w:tcPr>
                <w:p>
                  <w:pPr>
                    <w:pStyle w:val="18"/>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总容积</w:t>
                  </w:r>
                </w:p>
              </w:tc>
              <w:tc>
                <w:tcPr>
                  <w:tcW w:w="1667" w:type="pct"/>
                  <w:tcBorders>
                    <w:tl2br w:val="nil"/>
                    <w:tr2bl w:val="nil"/>
                  </w:tcBorders>
                  <w:vAlign w:val="center"/>
                </w:tcPr>
                <w:p>
                  <w:pPr>
                    <w:pStyle w:val="18"/>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单罐容积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65" w:type="pct"/>
                  <w:tcBorders>
                    <w:tl2br w:val="nil"/>
                    <w:tr2bl w:val="nil"/>
                  </w:tcBorders>
                  <w:vAlign w:val="center"/>
                </w:tcPr>
                <w:p>
                  <w:pPr>
                    <w:pStyle w:val="18"/>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一级</w:t>
                  </w:r>
                </w:p>
              </w:tc>
              <w:tc>
                <w:tcPr>
                  <w:tcW w:w="1667" w:type="pct"/>
                  <w:tcBorders>
                    <w:tl2br w:val="nil"/>
                    <w:tr2bl w:val="nil"/>
                  </w:tcBorders>
                  <w:vAlign w:val="center"/>
                </w:tcPr>
                <w:p>
                  <w:pPr>
                    <w:pStyle w:val="18"/>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150&lt;V≤210</w:t>
                  </w:r>
                </w:p>
              </w:tc>
              <w:tc>
                <w:tcPr>
                  <w:tcW w:w="1667" w:type="pct"/>
                  <w:tcBorders>
                    <w:tl2br w:val="nil"/>
                    <w:tr2bl w:val="nil"/>
                  </w:tcBorders>
                  <w:vAlign w:val="center"/>
                </w:tcPr>
                <w:p>
                  <w:pPr>
                    <w:pStyle w:val="18"/>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lang w:val="en-US"/>
                    </w:rPr>
                  </w:pPr>
                  <w:r>
                    <w:rPr>
                      <w:rFonts w:hint="default" w:ascii="Times New Roman" w:hAnsi="Times New Roman" w:eastAsia="宋体" w:cs="Times New Roman"/>
                      <w:color w:val="auto"/>
                      <w:sz w:val="21"/>
                      <w:szCs w:val="21"/>
                      <w:vertAlign w:val="baseline"/>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65" w:type="pct"/>
                  <w:tcBorders>
                    <w:tl2br w:val="nil"/>
                    <w:tr2bl w:val="nil"/>
                  </w:tcBorders>
                  <w:vAlign w:val="center"/>
                </w:tcPr>
                <w:p>
                  <w:pPr>
                    <w:pStyle w:val="18"/>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二级</w:t>
                  </w:r>
                </w:p>
              </w:tc>
              <w:tc>
                <w:tcPr>
                  <w:tcW w:w="1667" w:type="pct"/>
                  <w:tcBorders>
                    <w:tl2br w:val="nil"/>
                    <w:tr2bl w:val="nil"/>
                  </w:tcBorders>
                  <w:vAlign w:val="center"/>
                </w:tcPr>
                <w:p>
                  <w:pPr>
                    <w:pStyle w:val="18"/>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90&lt;V≤150</w:t>
                  </w:r>
                </w:p>
              </w:tc>
              <w:tc>
                <w:tcPr>
                  <w:tcW w:w="1667" w:type="pct"/>
                  <w:tcBorders>
                    <w:tl2br w:val="nil"/>
                    <w:tr2bl w:val="nil"/>
                  </w:tcBorders>
                  <w:vAlign w:val="center"/>
                </w:tcPr>
                <w:p>
                  <w:pPr>
                    <w:pStyle w:val="18"/>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65" w:type="pct"/>
                  <w:tcBorders>
                    <w:tl2br w:val="nil"/>
                    <w:tr2bl w:val="nil"/>
                  </w:tcBorders>
                  <w:vAlign w:val="center"/>
                </w:tcPr>
                <w:p>
                  <w:pPr>
                    <w:pStyle w:val="18"/>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三级</w:t>
                  </w:r>
                </w:p>
              </w:tc>
              <w:tc>
                <w:tcPr>
                  <w:tcW w:w="1667" w:type="pct"/>
                  <w:tcBorders>
                    <w:tl2br w:val="nil"/>
                    <w:tr2bl w:val="nil"/>
                  </w:tcBorders>
                  <w:vAlign w:val="center"/>
                </w:tcPr>
                <w:p>
                  <w:pPr>
                    <w:pStyle w:val="18"/>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lang w:val="en-US"/>
                    </w:rPr>
                  </w:pPr>
                  <w:r>
                    <w:rPr>
                      <w:rFonts w:hint="default" w:ascii="Times New Roman" w:hAnsi="Times New Roman" w:eastAsia="宋体" w:cs="Times New Roman"/>
                      <w:color w:val="auto"/>
                      <w:sz w:val="21"/>
                      <w:szCs w:val="21"/>
                      <w:vertAlign w:val="baseline"/>
                      <w:lang w:val="en-US" w:eastAsia="zh-CN"/>
                    </w:rPr>
                    <w:t>V≤90</w:t>
                  </w:r>
                </w:p>
              </w:tc>
              <w:tc>
                <w:tcPr>
                  <w:tcW w:w="166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汽油罐≤30，柴油罐≤50</w:t>
                  </w:r>
                </w:p>
              </w:tc>
            </w:tr>
          </w:tbl>
          <w:p>
            <w:pPr>
              <w:keepNext w:val="0"/>
              <w:keepLines w:val="0"/>
              <w:pageBreakBefore w:val="0"/>
              <w:widowControl/>
              <w:suppressLineNumbers w:val="0"/>
              <w:kinsoku/>
              <w:wordWrap/>
              <w:overflowPunct/>
              <w:topLinePunct w:val="0"/>
              <w:autoSpaceDE/>
              <w:autoSpaceDN/>
              <w:bidi w:val="0"/>
              <w:adjustRightInd/>
              <w:snapToGrid/>
              <w:ind w:firstLine="512"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②依据《汽车加油加气加氢站技术标准》（</w:t>
            </w:r>
            <w:r>
              <w:rPr>
                <w:rFonts w:hint="default" w:ascii="Times New Roman" w:hAnsi="Times New Roman" w:eastAsia="宋体" w:cs="Times New Roman"/>
                <w:color w:val="auto"/>
                <w:kern w:val="0"/>
                <w:sz w:val="24"/>
                <w:szCs w:val="24"/>
                <w:lang w:val="en-US" w:eastAsia="zh-CN" w:bidi="ar"/>
              </w:rPr>
              <w:t>GB50516-2021</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2014</w:t>
            </w:r>
            <w:r>
              <w:rPr>
                <w:rFonts w:hint="eastAsia" w:ascii="宋体" w:hAnsi="宋体" w:eastAsia="宋体" w:cs="宋体"/>
                <w:color w:val="auto"/>
                <w:kern w:val="0"/>
                <w:sz w:val="24"/>
                <w:szCs w:val="24"/>
                <w:lang w:val="en-US" w:eastAsia="zh-CN" w:bidi="ar"/>
              </w:rPr>
              <w:t>年版）要求和《公路安全保护条例》，站内有关设施与站外建、构筑物之间距离见表</w:t>
            </w:r>
            <w:r>
              <w:rPr>
                <w:rFonts w:hint="default" w:ascii="Times New Roman" w:hAnsi="Times New Roman"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5</w:t>
            </w:r>
            <w:r>
              <w:rPr>
                <w:rFonts w:hint="eastAsia" w:ascii="宋体" w:hAnsi="宋体" w:eastAsia="宋体" w:cs="宋体"/>
                <w:color w:val="auto"/>
                <w:kern w:val="0"/>
                <w:sz w:val="24"/>
                <w:szCs w:val="24"/>
                <w:lang w:val="en-US" w:eastAsia="zh-CN" w:bidi="ar"/>
              </w:rPr>
              <w:t>，加油站内设施内部建构筑物防火间距见表</w:t>
            </w:r>
            <w:r>
              <w:rPr>
                <w:rFonts w:hint="default" w:ascii="Times New Roman" w:hAnsi="Times New Roman"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6</w:t>
            </w:r>
            <w:r>
              <w:rPr>
                <w:rFonts w:hint="eastAsia" w:ascii="宋体" w:hAnsi="宋体" w:eastAsia="宋体" w:cs="宋体"/>
                <w:color w:val="auto"/>
                <w:kern w:val="0"/>
                <w:sz w:val="24"/>
                <w:szCs w:val="24"/>
                <w:lang w:val="en-US" w:eastAsia="zh-CN" w:bidi="ar"/>
              </w:rPr>
              <w:t>。</w:t>
            </w:r>
          </w:p>
          <w:p>
            <w:pPr>
              <w:pStyle w:val="18"/>
              <w:jc w:val="center"/>
              <w:rPr>
                <w:rFonts w:hint="default" w:ascii="Times New Roman" w:hAnsi="Times New Roman" w:eastAsia="黑体" w:cs="Times New Roman"/>
                <w:color w:val="auto"/>
                <w:sz w:val="21"/>
                <w:szCs w:val="22"/>
                <w:lang w:val="en-US" w:eastAsia="zh-CN"/>
              </w:rPr>
            </w:pPr>
            <w:r>
              <w:rPr>
                <w:rFonts w:hint="eastAsia" w:ascii="Times New Roman" w:hAnsi="Times New Roman" w:eastAsia="黑体" w:cs="Times New Roman"/>
                <w:color w:val="auto"/>
                <w:sz w:val="24"/>
                <w:szCs w:val="28"/>
                <w:lang w:val="en-US" w:eastAsia="zh-CN"/>
              </w:rPr>
              <w:t xml:space="preserve">  </w:t>
            </w:r>
            <w:r>
              <w:rPr>
                <w:rFonts w:hint="default" w:ascii="Times New Roman" w:hAnsi="Times New Roman" w:eastAsia="黑体" w:cs="Times New Roman"/>
                <w:color w:val="auto"/>
                <w:sz w:val="24"/>
                <w:szCs w:val="28"/>
                <w:lang w:val="en-US" w:eastAsia="zh-CN"/>
              </w:rPr>
              <w:t>表</w:t>
            </w:r>
            <w:r>
              <w:rPr>
                <w:rFonts w:hint="eastAsia" w:eastAsia="黑体" w:cs="Times New Roman"/>
                <w:color w:val="auto"/>
                <w:sz w:val="24"/>
                <w:szCs w:val="28"/>
                <w:lang w:val="en-US" w:eastAsia="zh-CN"/>
              </w:rPr>
              <w:t>1-</w:t>
            </w:r>
            <w:r>
              <w:rPr>
                <w:rFonts w:hint="default" w:ascii="Times New Roman" w:hAnsi="Times New Roman" w:eastAsia="黑体" w:cs="Times New Roman"/>
                <w:color w:val="auto"/>
                <w:sz w:val="24"/>
                <w:szCs w:val="28"/>
                <w:lang w:val="en-US" w:eastAsia="zh-CN"/>
              </w:rPr>
              <w:t xml:space="preserve">5  该加油站站内设施与站外建（构）筑物距离一览表  </w:t>
            </w:r>
            <w:r>
              <w:rPr>
                <w:rFonts w:hint="default" w:ascii="Times New Roman" w:hAnsi="Times New Roman" w:eastAsia="黑体" w:cs="Times New Roman"/>
                <w:color w:val="auto"/>
                <w:sz w:val="20"/>
                <w:szCs w:val="21"/>
                <w:lang w:val="en-US" w:eastAsia="zh-CN"/>
              </w:rPr>
              <w:t>单位：m</w:t>
            </w:r>
          </w:p>
          <w:tbl>
            <w:tblPr>
              <w:tblStyle w:val="27"/>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1066"/>
              <w:gridCol w:w="818"/>
              <w:gridCol w:w="1344"/>
              <w:gridCol w:w="1665"/>
              <w:gridCol w:w="1225"/>
              <w:gridCol w:w="19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设备</w:t>
                  </w:r>
                </w:p>
              </w:tc>
              <w:tc>
                <w:tcPr>
                  <w:tcW w:w="1066"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站内</w:t>
                  </w:r>
                </w:p>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设施</w:t>
                  </w:r>
                </w:p>
              </w:tc>
              <w:tc>
                <w:tcPr>
                  <w:tcW w:w="2162" w:type="dxa"/>
                  <w:gridSpan w:val="2"/>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周边站外设施</w:t>
                  </w:r>
                </w:p>
              </w:tc>
              <w:tc>
                <w:tcPr>
                  <w:tcW w:w="16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kern w:val="0"/>
                      <w:sz w:val="21"/>
                      <w:szCs w:val="21"/>
                      <w:lang w:val="en-US" w:eastAsia="zh-CN" w:bidi="ar"/>
                    </w:rPr>
                    <w:t>标准要求防火间距(m)</w:t>
                  </w:r>
                </w:p>
              </w:tc>
              <w:tc>
                <w:tcPr>
                  <w:tcW w:w="122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kern w:val="0"/>
                      <w:sz w:val="21"/>
                      <w:szCs w:val="21"/>
                      <w:lang w:val="en-US" w:eastAsia="zh-CN" w:bidi="ar"/>
                    </w:rPr>
                    <w:t>设计间距(m)</w:t>
                  </w:r>
                </w:p>
              </w:tc>
              <w:tc>
                <w:tcPr>
                  <w:tcW w:w="191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kern w:val="0"/>
                      <w:sz w:val="21"/>
                      <w:szCs w:val="21"/>
                      <w:lang w:val="en-US" w:eastAsia="zh-CN" w:bidi="ar"/>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0" w:type="auto"/>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color w:val="auto"/>
                      <w:vertAlign w:val="baseline"/>
                      <w:lang w:val="en-US" w:eastAsia="zh-CN"/>
                    </w:rPr>
                  </w:pPr>
                  <w:r>
                    <w:rPr>
                      <w:rFonts w:hint="eastAsia"/>
                      <w:color w:val="auto"/>
                      <w:vertAlign w:val="baseline"/>
                      <w:lang w:val="en-US" w:eastAsia="zh-CN"/>
                    </w:rPr>
                    <w:t>汽</w:t>
                  </w:r>
                </w:p>
                <w:p>
                  <w:pPr>
                    <w:keepNext w:val="0"/>
                    <w:keepLines w:val="0"/>
                    <w:pageBreakBefore w:val="0"/>
                    <w:kinsoku/>
                    <w:wordWrap/>
                    <w:overflowPunct/>
                    <w:topLinePunct w:val="0"/>
                    <w:autoSpaceDE/>
                    <w:autoSpaceDN/>
                    <w:bidi w:val="0"/>
                    <w:adjustRightInd/>
                    <w:snapToGrid w:val="0"/>
                    <w:jc w:val="center"/>
                    <w:textAlignment w:val="auto"/>
                    <w:rPr>
                      <w:rFonts w:hint="eastAsia"/>
                      <w:color w:val="auto"/>
                      <w:vertAlign w:val="baseline"/>
                      <w:lang w:val="en-US" w:eastAsia="zh-CN"/>
                    </w:rPr>
                  </w:pPr>
                  <w:r>
                    <w:rPr>
                      <w:rFonts w:hint="eastAsia"/>
                      <w:color w:val="auto"/>
                      <w:vertAlign w:val="baseline"/>
                      <w:lang w:val="en-US" w:eastAsia="zh-CN"/>
                    </w:rPr>
                    <w:t>油</w:t>
                  </w:r>
                </w:p>
                <w:p>
                  <w:pPr>
                    <w:keepNext w:val="0"/>
                    <w:keepLines w:val="0"/>
                    <w:pageBreakBefore w:val="0"/>
                    <w:kinsoku/>
                    <w:wordWrap/>
                    <w:overflowPunct/>
                    <w:topLinePunct w:val="0"/>
                    <w:autoSpaceDE/>
                    <w:autoSpaceDN/>
                    <w:bidi w:val="0"/>
                    <w:adjustRightInd/>
                    <w:snapToGrid w:val="0"/>
                    <w:jc w:val="center"/>
                    <w:textAlignment w:val="auto"/>
                    <w:rPr>
                      <w:rFonts w:hint="eastAsia"/>
                      <w:color w:val="auto"/>
                      <w:vertAlign w:val="baseline"/>
                      <w:lang w:val="en-US" w:eastAsia="zh-CN"/>
                    </w:rPr>
                  </w:pPr>
                  <w:r>
                    <w:rPr>
                      <w:rFonts w:hint="eastAsia"/>
                      <w:color w:val="auto"/>
                      <w:vertAlign w:val="baseline"/>
                      <w:lang w:val="en-US" w:eastAsia="zh-CN"/>
                    </w:rPr>
                    <w:t>设</w:t>
                  </w:r>
                </w:p>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eastAsia"/>
                      <w:color w:val="auto"/>
                      <w:vertAlign w:val="baseline"/>
                      <w:lang w:val="en-US" w:eastAsia="zh-CN"/>
                    </w:rPr>
                    <w:t>备</w:t>
                  </w:r>
                </w:p>
              </w:tc>
              <w:tc>
                <w:tcPr>
                  <w:tcW w:w="1066"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color w:val="auto"/>
                      <w:vertAlign w:val="baseline"/>
                      <w:lang w:val="en-US" w:eastAsia="zh-CN"/>
                    </w:rPr>
                  </w:pPr>
                  <w:r>
                    <w:rPr>
                      <w:rFonts w:hint="eastAsia"/>
                      <w:color w:val="auto"/>
                      <w:vertAlign w:val="baseline"/>
                      <w:lang w:val="en-US" w:eastAsia="zh-CN"/>
                    </w:rPr>
                    <w:t>加</w:t>
                  </w:r>
                </w:p>
                <w:p>
                  <w:pPr>
                    <w:keepNext w:val="0"/>
                    <w:keepLines w:val="0"/>
                    <w:pageBreakBefore w:val="0"/>
                    <w:kinsoku/>
                    <w:wordWrap/>
                    <w:overflowPunct/>
                    <w:topLinePunct w:val="0"/>
                    <w:autoSpaceDE/>
                    <w:autoSpaceDN/>
                    <w:bidi w:val="0"/>
                    <w:adjustRightInd/>
                    <w:snapToGrid w:val="0"/>
                    <w:jc w:val="center"/>
                    <w:textAlignment w:val="auto"/>
                    <w:rPr>
                      <w:rFonts w:hint="eastAsia"/>
                      <w:color w:val="auto"/>
                      <w:vertAlign w:val="baseline"/>
                      <w:lang w:val="en-US" w:eastAsia="zh-CN"/>
                    </w:rPr>
                  </w:pPr>
                  <w:r>
                    <w:rPr>
                      <w:rFonts w:hint="eastAsia"/>
                      <w:color w:val="auto"/>
                      <w:vertAlign w:val="baseline"/>
                      <w:lang w:val="en-US" w:eastAsia="zh-CN"/>
                    </w:rPr>
                    <w:t>油</w:t>
                  </w:r>
                </w:p>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eastAsia"/>
                      <w:color w:val="auto"/>
                      <w:vertAlign w:val="baseline"/>
                      <w:lang w:val="en-US" w:eastAsia="zh-CN"/>
                    </w:rPr>
                    <w:t>机</w:t>
                  </w:r>
                </w:p>
              </w:tc>
              <w:tc>
                <w:tcPr>
                  <w:tcW w:w="8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eastAsia"/>
                      <w:color w:val="auto"/>
                      <w:vertAlign w:val="baseline"/>
                      <w:lang w:val="en-US" w:eastAsia="zh-CN"/>
                    </w:rPr>
                    <w:t>东侧</w:t>
                  </w:r>
                </w:p>
              </w:tc>
              <w:tc>
                <w:tcPr>
                  <w:tcW w:w="1344"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eastAsia"/>
                      <w:color w:val="auto"/>
                      <w:vertAlign w:val="baseline"/>
                      <w:lang w:val="en-US" w:eastAsia="zh-CN"/>
                    </w:rPr>
                    <w:t>空地</w:t>
                  </w:r>
                </w:p>
              </w:tc>
              <w:tc>
                <w:tcPr>
                  <w:tcW w:w="166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eastAsia"/>
                      <w:color w:val="auto"/>
                      <w:vertAlign w:val="baseline"/>
                      <w:lang w:val="en-US" w:eastAsia="zh-CN"/>
                    </w:rPr>
                    <w:t>/</w:t>
                  </w:r>
                </w:p>
              </w:tc>
              <w:tc>
                <w:tcPr>
                  <w:tcW w:w="12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eastAsia"/>
                      <w:color w:val="auto"/>
                      <w:vertAlign w:val="baseline"/>
                      <w:lang w:val="en-US" w:eastAsia="zh-CN"/>
                    </w:rPr>
                    <w:t>/</w:t>
                  </w:r>
                </w:p>
              </w:tc>
              <w:tc>
                <w:tcPr>
                  <w:tcW w:w="191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eastAsia"/>
                      <w:color w:val="auto"/>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p>
              </w:tc>
              <w:tc>
                <w:tcPr>
                  <w:tcW w:w="1066"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p>
              </w:tc>
              <w:tc>
                <w:tcPr>
                  <w:tcW w:w="8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eastAsia"/>
                      <w:color w:val="auto"/>
                      <w:vertAlign w:val="baseline"/>
                      <w:lang w:val="en-US" w:eastAsia="zh-CN"/>
                    </w:rPr>
                    <w:t>西侧</w:t>
                  </w:r>
                </w:p>
              </w:tc>
              <w:tc>
                <w:tcPr>
                  <w:tcW w:w="1344"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default"/>
                      <w:color w:val="auto"/>
                      <w:vertAlign w:val="baseline"/>
                      <w:lang w:val="en-US" w:eastAsia="zh-CN"/>
                    </w:rPr>
                    <w:t>G109复线</w:t>
                  </w:r>
                </w:p>
              </w:tc>
              <w:tc>
                <w:tcPr>
                  <w:tcW w:w="166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eastAsia"/>
                      <w:color w:val="auto"/>
                      <w:vertAlign w:val="baseline"/>
                      <w:lang w:val="en-US" w:eastAsia="zh-CN"/>
                    </w:rPr>
                    <w:t>5.5</w:t>
                  </w:r>
                </w:p>
              </w:tc>
              <w:tc>
                <w:tcPr>
                  <w:tcW w:w="12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eastAsia"/>
                      <w:color w:val="auto"/>
                      <w:vertAlign w:val="baseline"/>
                      <w:lang w:val="en-US" w:eastAsia="zh-CN"/>
                    </w:rPr>
                    <w:t>65</w:t>
                  </w:r>
                </w:p>
              </w:tc>
              <w:tc>
                <w:tcPr>
                  <w:tcW w:w="19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eastAsia" w:ascii="宋体" w:hAnsi="宋体" w:eastAsia="宋体" w:cs="宋体"/>
                      <w:color w:val="auto"/>
                      <w:kern w:val="0"/>
                      <w:sz w:val="20"/>
                      <w:szCs w:val="20"/>
                      <w:lang w:val="en-US" w:eastAsia="zh-CN" w:bidi="ar"/>
                    </w:rPr>
                    <w:t>快速路，主干路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p>
              </w:tc>
              <w:tc>
                <w:tcPr>
                  <w:tcW w:w="1066"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p>
              </w:tc>
              <w:tc>
                <w:tcPr>
                  <w:tcW w:w="8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eastAsia"/>
                      <w:color w:val="auto"/>
                      <w:vertAlign w:val="baseline"/>
                      <w:lang w:val="en-US" w:eastAsia="zh-CN"/>
                    </w:rPr>
                    <w:t>南侧</w:t>
                  </w:r>
                </w:p>
              </w:tc>
              <w:tc>
                <w:tcPr>
                  <w:tcW w:w="1344"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eastAsia"/>
                      <w:color w:val="auto"/>
                      <w:vertAlign w:val="baseline"/>
                      <w:lang w:val="en-US" w:eastAsia="zh-CN"/>
                    </w:rPr>
                    <w:t>空地</w:t>
                  </w:r>
                </w:p>
              </w:tc>
              <w:tc>
                <w:tcPr>
                  <w:tcW w:w="166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eastAsia"/>
                      <w:color w:val="auto"/>
                      <w:vertAlign w:val="baseline"/>
                      <w:lang w:val="en-US" w:eastAsia="zh-CN"/>
                    </w:rPr>
                    <w:t>/</w:t>
                  </w:r>
                </w:p>
              </w:tc>
              <w:tc>
                <w:tcPr>
                  <w:tcW w:w="12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eastAsia"/>
                      <w:color w:val="auto"/>
                      <w:vertAlign w:val="baseline"/>
                      <w:lang w:val="en-US" w:eastAsia="zh-CN"/>
                    </w:rPr>
                    <w:t>/</w:t>
                  </w:r>
                </w:p>
              </w:tc>
              <w:tc>
                <w:tcPr>
                  <w:tcW w:w="19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eastAsia"/>
                      <w:color w:val="auto"/>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p>
              </w:tc>
              <w:tc>
                <w:tcPr>
                  <w:tcW w:w="1066"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p>
              </w:tc>
              <w:tc>
                <w:tcPr>
                  <w:tcW w:w="8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eastAsia"/>
                      <w:color w:val="auto"/>
                      <w:vertAlign w:val="baseline"/>
                      <w:lang w:val="en-US" w:eastAsia="zh-CN"/>
                    </w:rPr>
                    <w:t>北侧</w:t>
                  </w:r>
                </w:p>
              </w:tc>
              <w:tc>
                <w:tcPr>
                  <w:tcW w:w="1344"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eastAsia"/>
                      <w:color w:val="auto"/>
                      <w:vertAlign w:val="baseline"/>
                      <w:lang w:val="en-US" w:eastAsia="zh-CN"/>
                    </w:rPr>
                    <w:t>空地</w:t>
                  </w:r>
                </w:p>
              </w:tc>
              <w:tc>
                <w:tcPr>
                  <w:tcW w:w="166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eastAsia"/>
                      <w:color w:val="auto"/>
                      <w:vertAlign w:val="baseline"/>
                      <w:lang w:val="en-US" w:eastAsia="zh-CN"/>
                    </w:rPr>
                    <w:t>/</w:t>
                  </w:r>
                </w:p>
              </w:tc>
              <w:tc>
                <w:tcPr>
                  <w:tcW w:w="12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eastAsia"/>
                      <w:color w:val="auto"/>
                      <w:vertAlign w:val="baseline"/>
                      <w:lang w:val="en-US" w:eastAsia="zh-CN"/>
                    </w:rPr>
                    <w:t>/</w:t>
                  </w:r>
                </w:p>
              </w:tc>
              <w:tc>
                <w:tcPr>
                  <w:tcW w:w="19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eastAsia"/>
                      <w:color w:val="auto"/>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p>
              </w:tc>
              <w:tc>
                <w:tcPr>
                  <w:tcW w:w="1066"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default"/>
                      <w:color w:val="auto"/>
                      <w:vertAlign w:val="baseline"/>
                      <w:lang w:val="en-US" w:eastAsia="zh-CN"/>
                    </w:rPr>
                    <w:t>埋</w:t>
                  </w:r>
                </w:p>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default"/>
                      <w:color w:val="auto"/>
                      <w:vertAlign w:val="baseline"/>
                      <w:lang w:val="en-US" w:eastAsia="zh-CN"/>
                    </w:rPr>
                    <w:t>地</w:t>
                  </w:r>
                </w:p>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default"/>
                      <w:color w:val="auto"/>
                      <w:vertAlign w:val="baseline"/>
                      <w:lang w:val="en-US" w:eastAsia="zh-CN"/>
                    </w:rPr>
                    <w:t>油</w:t>
                  </w:r>
                </w:p>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default"/>
                      <w:color w:val="auto"/>
                      <w:vertAlign w:val="baseline"/>
                      <w:lang w:val="en-US" w:eastAsia="zh-CN"/>
                    </w:rPr>
                    <w:t>罐</w:t>
                  </w:r>
                </w:p>
              </w:tc>
              <w:tc>
                <w:tcPr>
                  <w:tcW w:w="8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东侧</w:t>
                  </w:r>
                </w:p>
              </w:tc>
              <w:tc>
                <w:tcPr>
                  <w:tcW w:w="1344"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eastAsia"/>
                      <w:color w:val="auto"/>
                      <w:vertAlign w:val="baseline"/>
                      <w:lang w:val="en-US" w:eastAsia="zh-CN"/>
                    </w:rPr>
                    <w:t>空地</w:t>
                  </w:r>
                </w:p>
              </w:tc>
              <w:tc>
                <w:tcPr>
                  <w:tcW w:w="166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eastAsia"/>
                      <w:color w:val="auto"/>
                      <w:vertAlign w:val="baseline"/>
                      <w:lang w:val="en-US" w:eastAsia="zh-CN"/>
                    </w:rPr>
                    <w:t>/</w:t>
                  </w:r>
                </w:p>
              </w:tc>
              <w:tc>
                <w:tcPr>
                  <w:tcW w:w="12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eastAsia"/>
                      <w:color w:val="auto"/>
                      <w:vertAlign w:val="baseline"/>
                      <w:lang w:val="en-US" w:eastAsia="zh-CN"/>
                    </w:rPr>
                    <w:t>/</w:t>
                  </w:r>
                </w:p>
              </w:tc>
              <w:tc>
                <w:tcPr>
                  <w:tcW w:w="19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eastAsia"/>
                      <w:color w:val="auto"/>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p>
              </w:tc>
              <w:tc>
                <w:tcPr>
                  <w:tcW w:w="1066"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p>
              </w:tc>
              <w:tc>
                <w:tcPr>
                  <w:tcW w:w="8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西侧</w:t>
                  </w:r>
                </w:p>
              </w:tc>
              <w:tc>
                <w:tcPr>
                  <w:tcW w:w="1344"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default"/>
                      <w:color w:val="auto"/>
                      <w:vertAlign w:val="baseline"/>
                      <w:lang w:val="en-US" w:eastAsia="zh-CN"/>
                    </w:rPr>
                    <w:t>G109复线</w:t>
                  </w:r>
                </w:p>
              </w:tc>
              <w:tc>
                <w:tcPr>
                  <w:tcW w:w="166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5.5</w:t>
                  </w:r>
                </w:p>
              </w:tc>
              <w:tc>
                <w:tcPr>
                  <w:tcW w:w="12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77</w:t>
                  </w:r>
                </w:p>
              </w:tc>
              <w:tc>
                <w:tcPr>
                  <w:tcW w:w="19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宋体" w:hAnsi="宋体" w:eastAsia="宋体" w:cs="宋体"/>
                      <w:color w:val="auto"/>
                      <w:kern w:val="0"/>
                      <w:sz w:val="20"/>
                      <w:szCs w:val="20"/>
                      <w:lang w:val="en-US" w:eastAsia="zh-CN" w:bidi="ar"/>
                    </w:rPr>
                    <w:t>快速路，主干路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p>
              </w:tc>
              <w:tc>
                <w:tcPr>
                  <w:tcW w:w="1066"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p>
              </w:tc>
              <w:tc>
                <w:tcPr>
                  <w:tcW w:w="8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南侧</w:t>
                  </w:r>
                </w:p>
              </w:tc>
              <w:tc>
                <w:tcPr>
                  <w:tcW w:w="1344"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eastAsia"/>
                      <w:color w:val="auto"/>
                      <w:vertAlign w:val="baseline"/>
                      <w:lang w:val="en-US" w:eastAsia="zh-CN"/>
                    </w:rPr>
                    <w:t>空地</w:t>
                  </w:r>
                </w:p>
              </w:tc>
              <w:tc>
                <w:tcPr>
                  <w:tcW w:w="166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w:t>
                  </w:r>
                </w:p>
              </w:tc>
              <w:tc>
                <w:tcPr>
                  <w:tcW w:w="12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w:t>
                  </w:r>
                </w:p>
              </w:tc>
              <w:tc>
                <w:tcPr>
                  <w:tcW w:w="19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p>
              </w:tc>
              <w:tc>
                <w:tcPr>
                  <w:tcW w:w="1066"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p>
              </w:tc>
              <w:tc>
                <w:tcPr>
                  <w:tcW w:w="8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北侧</w:t>
                  </w:r>
                </w:p>
              </w:tc>
              <w:tc>
                <w:tcPr>
                  <w:tcW w:w="1344"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eastAsia"/>
                      <w:color w:val="auto"/>
                      <w:vertAlign w:val="baseline"/>
                      <w:lang w:val="en-US" w:eastAsia="zh-CN"/>
                    </w:rPr>
                    <w:t>空地</w:t>
                  </w:r>
                </w:p>
              </w:tc>
              <w:tc>
                <w:tcPr>
                  <w:tcW w:w="166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w:t>
                  </w:r>
                </w:p>
              </w:tc>
              <w:tc>
                <w:tcPr>
                  <w:tcW w:w="12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w:t>
                  </w:r>
                </w:p>
              </w:tc>
              <w:tc>
                <w:tcPr>
                  <w:tcW w:w="19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p>
              </w:tc>
              <w:tc>
                <w:tcPr>
                  <w:tcW w:w="1066"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default"/>
                      <w:color w:val="auto"/>
                      <w:vertAlign w:val="baseline"/>
                      <w:lang w:val="en-US" w:eastAsia="zh-CN"/>
                    </w:rPr>
                    <w:t>通气管管口</w:t>
                  </w:r>
                </w:p>
              </w:tc>
              <w:tc>
                <w:tcPr>
                  <w:tcW w:w="8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东侧</w:t>
                  </w:r>
                </w:p>
              </w:tc>
              <w:tc>
                <w:tcPr>
                  <w:tcW w:w="1344"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eastAsia"/>
                      <w:color w:val="auto"/>
                      <w:vertAlign w:val="baseline"/>
                      <w:lang w:val="en-US" w:eastAsia="zh-CN"/>
                    </w:rPr>
                    <w:t>空地</w:t>
                  </w:r>
                </w:p>
              </w:tc>
              <w:tc>
                <w:tcPr>
                  <w:tcW w:w="166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w:t>
                  </w:r>
                </w:p>
              </w:tc>
              <w:tc>
                <w:tcPr>
                  <w:tcW w:w="12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w:t>
                  </w:r>
                </w:p>
              </w:tc>
              <w:tc>
                <w:tcPr>
                  <w:tcW w:w="19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p>
              </w:tc>
              <w:tc>
                <w:tcPr>
                  <w:tcW w:w="1066"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p>
              </w:tc>
              <w:tc>
                <w:tcPr>
                  <w:tcW w:w="8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西侧</w:t>
                  </w:r>
                </w:p>
              </w:tc>
              <w:tc>
                <w:tcPr>
                  <w:tcW w:w="1344"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default"/>
                      <w:color w:val="auto"/>
                      <w:vertAlign w:val="baseline"/>
                      <w:lang w:val="en-US" w:eastAsia="zh-CN"/>
                    </w:rPr>
                    <w:t>G109复线</w:t>
                  </w:r>
                </w:p>
              </w:tc>
              <w:tc>
                <w:tcPr>
                  <w:tcW w:w="166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5.5</w:t>
                  </w:r>
                </w:p>
              </w:tc>
              <w:tc>
                <w:tcPr>
                  <w:tcW w:w="12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77</w:t>
                  </w:r>
                </w:p>
              </w:tc>
              <w:tc>
                <w:tcPr>
                  <w:tcW w:w="19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宋体" w:hAnsi="宋体" w:eastAsia="宋体" w:cs="宋体"/>
                      <w:color w:val="auto"/>
                      <w:kern w:val="0"/>
                      <w:sz w:val="20"/>
                      <w:szCs w:val="20"/>
                      <w:lang w:val="en-US" w:eastAsia="zh-CN" w:bidi="ar"/>
                    </w:rPr>
                    <w:t>快速路，主干路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p>
              </w:tc>
              <w:tc>
                <w:tcPr>
                  <w:tcW w:w="1066"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p>
              </w:tc>
              <w:tc>
                <w:tcPr>
                  <w:tcW w:w="8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南侧</w:t>
                  </w:r>
                </w:p>
              </w:tc>
              <w:tc>
                <w:tcPr>
                  <w:tcW w:w="1344"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eastAsia"/>
                      <w:color w:val="auto"/>
                      <w:vertAlign w:val="baseline"/>
                      <w:lang w:val="en-US" w:eastAsia="zh-CN"/>
                    </w:rPr>
                    <w:t>空地</w:t>
                  </w:r>
                </w:p>
              </w:tc>
              <w:tc>
                <w:tcPr>
                  <w:tcW w:w="166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w:t>
                  </w:r>
                </w:p>
              </w:tc>
              <w:tc>
                <w:tcPr>
                  <w:tcW w:w="12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w:t>
                  </w:r>
                </w:p>
              </w:tc>
              <w:tc>
                <w:tcPr>
                  <w:tcW w:w="19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p>
              </w:tc>
              <w:tc>
                <w:tcPr>
                  <w:tcW w:w="1066"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p>
              </w:tc>
              <w:tc>
                <w:tcPr>
                  <w:tcW w:w="8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北侧</w:t>
                  </w:r>
                </w:p>
              </w:tc>
              <w:tc>
                <w:tcPr>
                  <w:tcW w:w="1344"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eastAsia"/>
                      <w:color w:val="auto"/>
                      <w:vertAlign w:val="baseline"/>
                      <w:lang w:val="en-US" w:eastAsia="zh-CN"/>
                    </w:rPr>
                    <w:t>空地</w:t>
                  </w:r>
                </w:p>
              </w:tc>
              <w:tc>
                <w:tcPr>
                  <w:tcW w:w="166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w:t>
                  </w:r>
                </w:p>
              </w:tc>
              <w:tc>
                <w:tcPr>
                  <w:tcW w:w="12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w:t>
                  </w:r>
                </w:p>
              </w:tc>
              <w:tc>
                <w:tcPr>
                  <w:tcW w:w="19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color w:val="auto"/>
                      <w:vertAlign w:val="baseline"/>
                      <w:lang w:val="en-US" w:eastAsia="zh-CN"/>
                    </w:rPr>
                  </w:pPr>
                  <w:r>
                    <w:rPr>
                      <w:rFonts w:hint="eastAsia"/>
                      <w:color w:val="auto"/>
                      <w:vertAlign w:val="baseline"/>
                      <w:lang w:val="en-US" w:eastAsia="zh-CN"/>
                    </w:rPr>
                    <w:t>柴</w:t>
                  </w:r>
                </w:p>
                <w:p>
                  <w:pPr>
                    <w:keepNext w:val="0"/>
                    <w:keepLines w:val="0"/>
                    <w:pageBreakBefore w:val="0"/>
                    <w:kinsoku/>
                    <w:wordWrap/>
                    <w:overflowPunct/>
                    <w:topLinePunct w:val="0"/>
                    <w:autoSpaceDE/>
                    <w:autoSpaceDN/>
                    <w:bidi w:val="0"/>
                    <w:adjustRightInd/>
                    <w:snapToGrid w:val="0"/>
                    <w:jc w:val="center"/>
                    <w:textAlignment w:val="auto"/>
                    <w:rPr>
                      <w:rFonts w:hint="eastAsia"/>
                      <w:color w:val="auto"/>
                      <w:vertAlign w:val="baseline"/>
                      <w:lang w:val="en-US" w:eastAsia="zh-CN"/>
                    </w:rPr>
                  </w:pPr>
                  <w:r>
                    <w:rPr>
                      <w:rFonts w:hint="eastAsia"/>
                      <w:color w:val="auto"/>
                      <w:vertAlign w:val="baseline"/>
                      <w:lang w:val="en-US" w:eastAsia="zh-CN"/>
                    </w:rPr>
                    <w:t>油</w:t>
                  </w:r>
                </w:p>
                <w:p>
                  <w:pPr>
                    <w:keepNext w:val="0"/>
                    <w:keepLines w:val="0"/>
                    <w:pageBreakBefore w:val="0"/>
                    <w:kinsoku/>
                    <w:wordWrap/>
                    <w:overflowPunct/>
                    <w:topLinePunct w:val="0"/>
                    <w:autoSpaceDE/>
                    <w:autoSpaceDN/>
                    <w:bidi w:val="0"/>
                    <w:adjustRightInd/>
                    <w:snapToGrid w:val="0"/>
                    <w:jc w:val="center"/>
                    <w:textAlignment w:val="auto"/>
                    <w:rPr>
                      <w:rFonts w:hint="eastAsia"/>
                      <w:color w:val="auto"/>
                      <w:vertAlign w:val="baseline"/>
                      <w:lang w:val="en-US" w:eastAsia="zh-CN"/>
                    </w:rPr>
                  </w:pPr>
                  <w:r>
                    <w:rPr>
                      <w:rFonts w:hint="eastAsia"/>
                      <w:color w:val="auto"/>
                      <w:vertAlign w:val="baseline"/>
                      <w:lang w:val="en-US" w:eastAsia="zh-CN"/>
                    </w:rPr>
                    <w:t>设</w:t>
                  </w:r>
                </w:p>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eastAsia"/>
                      <w:color w:val="auto"/>
                      <w:vertAlign w:val="baseline"/>
                      <w:lang w:val="en-US" w:eastAsia="zh-CN"/>
                    </w:rPr>
                    <w:t>备</w:t>
                  </w:r>
                </w:p>
              </w:tc>
              <w:tc>
                <w:tcPr>
                  <w:tcW w:w="1066"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color w:val="auto"/>
                      <w:vertAlign w:val="baseline"/>
                      <w:lang w:val="en-US" w:eastAsia="zh-CN"/>
                    </w:rPr>
                  </w:pPr>
                  <w:r>
                    <w:rPr>
                      <w:rFonts w:hint="eastAsia"/>
                      <w:color w:val="auto"/>
                      <w:vertAlign w:val="baseline"/>
                      <w:lang w:val="en-US" w:eastAsia="zh-CN"/>
                    </w:rPr>
                    <w:t>加</w:t>
                  </w:r>
                </w:p>
                <w:p>
                  <w:pPr>
                    <w:keepNext w:val="0"/>
                    <w:keepLines w:val="0"/>
                    <w:pageBreakBefore w:val="0"/>
                    <w:kinsoku/>
                    <w:wordWrap/>
                    <w:overflowPunct/>
                    <w:topLinePunct w:val="0"/>
                    <w:autoSpaceDE/>
                    <w:autoSpaceDN/>
                    <w:bidi w:val="0"/>
                    <w:adjustRightInd/>
                    <w:snapToGrid w:val="0"/>
                    <w:jc w:val="center"/>
                    <w:textAlignment w:val="auto"/>
                    <w:rPr>
                      <w:rFonts w:hint="eastAsia"/>
                      <w:color w:val="auto"/>
                      <w:vertAlign w:val="baseline"/>
                      <w:lang w:val="en-US" w:eastAsia="zh-CN"/>
                    </w:rPr>
                  </w:pPr>
                  <w:r>
                    <w:rPr>
                      <w:rFonts w:hint="eastAsia"/>
                      <w:color w:val="auto"/>
                      <w:vertAlign w:val="baseline"/>
                      <w:lang w:val="en-US" w:eastAsia="zh-CN"/>
                    </w:rPr>
                    <w:t>油</w:t>
                  </w:r>
                </w:p>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eastAsia"/>
                      <w:color w:val="auto"/>
                      <w:vertAlign w:val="baseline"/>
                      <w:lang w:val="en-US" w:eastAsia="zh-CN"/>
                    </w:rPr>
                    <w:t>机</w:t>
                  </w:r>
                </w:p>
              </w:tc>
              <w:tc>
                <w:tcPr>
                  <w:tcW w:w="8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东侧</w:t>
                  </w:r>
                </w:p>
              </w:tc>
              <w:tc>
                <w:tcPr>
                  <w:tcW w:w="1344"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eastAsia"/>
                      <w:color w:val="auto"/>
                      <w:vertAlign w:val="baseline"/>
                      <w:lang w:val="en-US" w:eastAsia="zh-CN"/>
                    </w:rPr>
                    <w:t>空地</w:t>
                  </w:r>
                </w:p>
              </w:tc>
              <w:tc>
                <w:tcPr>
                  <w:tcW w:w="166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w:t>
                  </w:r>
                </w:p>
              </w:tc>
              <w:tc>
                <w:tcPr>
                  <w:tcW w:w="12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w:t>
                  </w:r>
                </w:p>
              </w:tc>
              <w:tc>
                <w:tcPr>
                  <w:tcW w:w="19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p>
              </w:tc>
              <w:tc>
                <w:tcPr>
                  <w:tcW w:w="1066"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p>
              </w:tc>
              <w:tc>
                <w:tcPr>
                  <w:tcW w:w="8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西侧</w:t>
                  </w:r>
                </w:p>
              </w:tc>
              <w:tc>
                <w:tcPr>
                  <w:tcW w:w="1344"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default"/>
                      <w:color w:val="auto"/>
                      <w:vertAlign w:val="baseline"/>
                      <w:lang w:val="en-US" w:eastAsia="zh-CN"/>
                    </w:rPr>
                    <w:t>G109复线</w:t>
                  </w:r>
                </w:p>
              </w:tc>
              <w:tc>
                <w:tcPr>
                  <w:tcW w:w="166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3.0</w:t>
                  </w:r>
                </w:p>
              </w:tc>
              <w:tc>
                <w:tcPr>
                  <w:tcW w:w="12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66</w:t>
                  </w:r>
                </w:p>
              </w:tc>
              <w:tc>
                <w:tcPr>
                  <w:tcW w:w="19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宋体" w:hAnsi="宋体" w:eastAsia="宋体" w:cs="宋体"/>
                      <w:color w:val="auto"/>
                      <w:kern w:val="0"/>
                      <w:sz w:val="20"/>
                      <w:szCs w:val="20"/>
                      <w:lang w:val="en-US" w:eastAsia="zh-CN" w:bidi="ar"/>
                    </w:rPr>
                    <w:t>快速路，主干路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p>
              </w:tc>
              <w:tc>
                <w:tcPr>
                  <w:tcW w:w="1066"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p>
              </w:tc>
              <w:tc>
                <w:tcPr>
                  <w:tcW w:w="8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南侧</w:t>
                  </w:r>
                </w:p>
              </w:tc>
              <w:tc>
                <w:tcPr>
                  <w:tcW w:w="1344"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空地</w:t>
                  </w:r>
                </w:p>
              </w:tc>
              <w:tc>
                <w:tcPr>
                  <w:tcW w:w="166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w:t>
                  </w:r>
                </w:p>
              </w:tc>
              <w:tc>
                <w:tcPr>
                  <w:tcW w:w="12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w:t>
                  </w:r>
                </w:p>
              </w:tc>
              <w:tc>
                <w:tcPr>
                  <w:tcW w:w="19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p>
              </w:tc>
              <w:tc>
                <w:tcPr>
                  <w:tcW w:w="1066"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p>
              </w:tc>
              <w:tc>
                <w:tcPr>
                  <w:tcW w:w="8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北侧</w:t>
                  </w:r>
                </w:p>
              </w:tc>
              <w:tc>
                <w:tcPr>
                  <w:tcW w:w="1344"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空地</w:t>
                  </w:r>
                </w:p>
              </w:tc>
              <w:tc>
                <w:tcPr>
                  <w:tcW w:w="166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w:t>
                  </w:r>
                </w:p>
              </w:tc>
              <w:tc>
                <w:tcPr>
                  <w:tcW w:w="12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w:t>
                  </w:r>
                </w:p>
              </w:tc>
              <w:tc>
                <w:tcPr>
                  <w:tcW w:w="19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p>
              </w:tc>
              <w:tc>
                <w:tcPr>
                  <w:tcW w:w="1066"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default"/>
                      <w:color w:val="auto"/>
                      <w:vertAlign w:val="baseline"/>
                      <w:lang w:val="en-US" w:eastAsia="zh-CN"/>
                    </w:rPr>
                    <w:t>埋</w:t>
                  </w:r>
                </w:p>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default"/>
                      <w:color w:val="auto"/>
                      <w:vertAlign w:val="baseline"/>
                      <w:lang w:val="en-US" w:eastAsia="zh-CN"/>
                    </w:rPr>
                    <w:t>地</w:t>
                  </w:r>
                </w:p>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default"/>
                      <w:color w:val="auto"/>
                      <w:vertAlign w:val="baseline"/>
                      <w:lang w:val="en-US" w:eastAsia="zh-CN"/>
                    </w:rPr>
                    <w:t>油</w:t>
                  </w:r>
                </w:p>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default"/>
                      <w:color w:val="auto"/>
                      <w:vertAlign w:val="baseline"/>
                      <w:lang w:val="en-US" w:eastAsia="zh-CN"/>
                    </w:rPr>
                    <w:t>罐</w:t>
                  </w:r>
                </w:p>
              </w:tc>
              <w:tc>
                <w:tcPr>
                  <w:tcW w:w="8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东侧</w:t>
                  </w:r>
                </w:p>
              </w:tc>
              <w:tc>
                <w:tcPr>
                  <w:tcW w:w="1344"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空地</w:t>
                  </w:r>
                </w:p>
              </w:tc>
              <w:tc>
                <w:tcPr>
                  <w:tcW w:w="166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w:t>
                  </w:r>
                </w:p>
              </w:tc>
              <w:tc>
                <w:tcPr>
                  <w:tcW w:w="12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w:t>
                  </w:r>
                </w:p>
              </w:tc>
              <w:tc>
                <w:tcPr>
                  <w:tcW w:w="19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p>
              </w:tc>
              <w:tc>
                <w:tcPr>
                  <w:tcW w:w="1066"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p>
              </w:tc>
              <w:tc>
                <w:tcPr>
                  <w:tcW w:w="8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西侧</w:t>
                  </w:r>
                </w:p>
              </w:tc>
              <w:tc>
                <w:tcPr>
                  <w:tcW w:w="1344"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default"/>
                      <w:color w:val="auto"/>
                      <w:vertAlign w:val="baseline"/>
                      <w:lang w:val="en-US" w:eastAsia="zh-CN"/>
                    </w:rPr>
                    <w:t>G109复线</w:t>
                  </w:r>
                </w:p>
              </w:tc>
              <w:tc>
                <w:tcPr>
                  <w:tcW w:w="166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3.0</w:t>
                  </w:r>
                </w:p>
              </w:tc>
              <w:tc>
                <w:tcPr>
                  <w:tcW w:w="12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76</w:t>
                  </w:r>
                </w:p>
              </w:tc>
              <w:tc>
                <w:tcPr>
                  <w:tcW w:w="19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宋体" w:hAnsi="宋体" w:eastAsia="宋体" w:cs="宋体"/>
                      <w:color w:val="auto"/>
                      <w:kern w:val="0"/>
                      <w:sz w:val="20"/>
                      <w:szCs w:val="20"/>
                      <w:lang w:val="en-US" w:eastAsia="zh-CN" w:bidi="ar"/>
                    </w:rPr>
                    <w:t>快速路，主干路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p>
              </w:tc>
              <w:tc>
                <w:tcPr>
                  <w:tcW w:w="1066"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p>
              </w:tc>
              <w:tc>
                <w:tcPr>
                  <w:tcW w:w="8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南侧</w:t>
                  </w:r>
                </w:p>
              </w:tc>
              <w:tc>
                <w:tcPr>
                  <w:tcW w:w="1344"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空地</w:t>
                  </w:r>
                </w:p>
              </w:tc>
              <w:tc>
                <w:tcPr>
                  <w:tcW w:w="166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w:t>
                  </w:r>
                </w:p>
              </w:tc>
              <w:tc>
                <w:tcPr>
                  <w:tcW w:w="12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w:t>
                  </w:r>
                </w:p>
              </w:tc>
              <w:tc>
                <w:tcPr>
                  <w:tcW w:w="19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p>
              </w:tc>
              <w:tc>
                <w:tcPr>
                  <w:tcW w:w="1066"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p>
              </w:tc>
              <w:tc>
                <w:tcPr>
                  <w:tcW w:w="8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北侧</w:t>
                  </w:r>
                </w:p>
              </w:tc>
              <w:tc>
                <w:tcPr>
                  <w:tcW w:w="1344"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空地</w:t>
                  </w:r>
                </w:p>
              </w:tc>
              <w:tc>
                <w:tcPr>
                  <w:tcW w:w="166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w:t>
                  </w:r>
                </w:p>
              </w:tc>
              <w:tc>
                <w:tcPr>
                  <w:tcW w:w="12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w:t>
                  </w:r>
                </w:p>
              </w:tc>
              <w:tc>
                <w:tcPr>
                  <w:tcW w:w="19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p>
              </w:tc>
              <w:tc>
                <w:tcPr>
                  <w:tcW w:w="1066"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color w:val="auto"/>
                      <w:vertAlign w:val="baseline"/>
                      <w:lang w:val="en-US" w:eastAsia="zh-CN"/>
                    </w:rPr>
                    <w:t>通气管管口</w:t>
                  </w:r>
                </w:p>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p>
              </w:tc>
              <w:tc>
                <w:tcPr>
                  <w:tcW w:w="8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东侧</w:t>
                  </w:r>
                </w:p>
              </w:tc>
              <w:tc>
                <w:tcPr>
                  <w:tcW w:w="1344"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空地</w:t>
                  </w:r>
                </w:p>
              </w:tc>
              <w:tc>
                <w:tcPr>
                  <w:tcW w:w="166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w:t>
                  </w:r>
                </w:p>
              </w:tc>
              <w:tc>
                <w:tcPr>
                  <w:tcW w:w="12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w:t>
                  </w:r>
                </w:p>
              </w:tc>
              <w:tc>
                <w:tcPr>
                  <w:tcW w:w="19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p>
              </w:tc>
              <w:tc>
                <w:tcPr>
                  <w:tcW w:w="1066"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p>
              </w:tc>
              <w:tc>
                <w:tcPr>
                  <w:tcW w:w="8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西侧</w:t>
                  </w:r>
                </w:p>
              </w:tc>
              <w:tc>
                <w:tcPr>
                  <w:tcW w:w="1344"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r>
                    <w:rPr>
                      <w:rFonts w:hint="default"/>
                      <w:color w:val="auto"/>
                      <w:vertAlign w:val="baseline"/>
                      <w:lang w:val="en-US" w:eastAsia="zh-CN"/>
                    </w:rPr>
                    <w:t>G109复线</w:t>
                  </w:r>
                </w:p>
              </w:tc>
              <w:tc>
                <w:tcPr>
                  <w:tcW w:w="166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3.0</w:t>
                  </w:r>
                </w:p>
              </w:tc>
              <w:tc>
                <w:tcPr>
                  <w:tcW w:w="12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76</w:t>
                  </w:r>
                </w:p>
              </w:tc>
              <w:tc>
                <w:tcPr>
                  <w:tcW w:w="19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宋体" w:hAnsi="宋体" w:eastAsia="宋体" w:cs="宋体"/>
                      <w:color w:val="auto"/>
                      <w:kern w:val="0"/>
                      <w:sz w:val="20"/>
                      <w:szCs w:val="20"/>
                      <w:lang w:val="en-US" w:eastAsia="zh-CN" w:bidi="ar"/>
                    </w:rPr>
                    <w:t>快速路，主干路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p>
              </w:tc>
              <w:tc>
                <w:tcPr>
                  <w:tcW w:w="1066"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p>
              </w:tc>
              <w:tc>
                <w:tcPr>
                  <w:tcW w:w="8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南侧</w:t>
                  </w:r>
                </w:p>
              </w:tc>
              <w:tc>
                <w:tcPr>
                  <w:tcW w:w="1344"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空地</w:t>
                  </w:r>
                </w:p>
              </w:tc>
              <w:tc>
                <w:tcPr>
                  <w:tcW w:w="166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w:t>
                  </w:r>
                </w:p>
              </w:tc>
              <w:tc>
                <w:tcPr>
                  <w:tcW w:w="12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w:t>
                  </w:r>
                </w:p>
              </w:tc>
              <w:tc>
                <w:tcPr>
                  <w:tcW w:w="19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p>
              </w:tc>
              <w:tc>
                <w:tcPr>
                  <w:tcW w:w="1066"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color w:val="auto"/>
                      <w:vertAlign w:val="baseline"/>
                      <w:lang w:val="en-US" w:eastAsia="zh-CN"/>
                    </w:rPr>
                  </w:pPr>
                </w:p>
              </w:tc>
              <w:tc>
                <w:tcPr>
                  <w:tcW w:w="8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北侧</w:t>
                  </w:r>
                </w:p>
              </w:tc>
              <w:tc>
                <w:tcPr>
                  <w:tcW w:w="1344"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空地</w:t>
                  </w:r>
                </w:p>
              </w:tc>
              <w:tc>
                <w:tcPr>
                  <w:tcW w:w="166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w:t>
                  </w:r>
                </w:p>
              </w:tc>
              <w:tc>
                <w:tcPr>
                  <w:tcW w:w="12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w:t>
                  </w:r>
                </w:p>
              </w:tc>
              <w:tc>
                <w:tcPr>
                  <w:tcW w:w="1918" w:type="dxa"/>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vertAlign w:val="baseline"/>
                      <w:lang w:val="en-US" w:eastAsia="zh-CN"/>
                    </w:rPr>
                    <w:t>/</w:t>
                  </w:r>
                </w:p>
              </w:tc>
            </w:tr>
          </w:tbl>
          <w:p>
            <w:pPr>
              <w:keepNext w:val="0"/>
              <w:keepLines w:val="0"/>
              <w:pageBreakBefore w:val="0"/>
              <w:widowControl w:val="0"/>
              <w:kinsoku/>
              <w:wordWrap/>
              <w:overflowPunct/>
              <w:topLinePunct w:val="0"/>
              <w:autoSpaceDE/>
              <w:autoSpaceDN/>
              <w:bidi w:val="0"/>
              <w:adjustRightInd/>
              <w:snapToGrid w:val="0"/>
              <w:ind w:firstLine="196" w:firstLineChars="100"/>
              <w:jc w:val="left"/>
              <w:textAlignment w:val="auto"/>
              <w:rPr>
                <w:rFonts w:hint="default"/>
                <w:b/>
                <w:bCs/>
                <w:color w:val="auto"/>
                <w:sz w:val="18"/>
                <w:szCs w:val="18"/>
                <w:lang w:val="en-US" w:eastAsia="zh-CN"/>
              </w:rPr>
            </w:pPr>
            <w:r>
              <w:rPr>
                <w:rFonts w:hint="default"/>
                <w:b/>
                <w:bCs/>
                <w:color w:val="auto"/>
                <w:sz w:val="18"/>
                <w:szCs w:val="18"/>
                <w:lang w:val="en-US" w:eastAsia="zh-CN"/>
              </w:rPr>
              <w:t>注</w:t>
            </w:r>
            <w:r>
              <w:rPr>
                <w:rFonts w:hint="eastAsia"/>
                <w:b/>
                <w:bCs/>
                <w:color w:val="auto"/>
                <w:sz w:val="18"/>
                <w:szCs w:val="18"/>
                <w:lang w:val="en-US" w:eastAsia="zh-CN"/>
              </w:rPr>
              <w:t>：</w:t>
            </w:r>
            <w:r>
              <w:rPr>
                <w:rFonts w:hint="default"/>
                <w:b/>
                <w:bCs/>
                <w:color w:val="auto"/>
                <w:sz w:val="18"/>
                <w:szCs w:val="18"/>
                <w:lang w:val="en-US" w:eastAsia="zh-CN"/>
              </w:rPr>
              <w:t>表中距离参考《汽车加油加气加氢站技术标准》(GB50516-2021)(2014年版)中第4.0.4、4.0.5条(二级加油站且有卸油、加油和储油油气回收系统)</w:t>
            </w:r>
          </w:p>
          <w:p>
            <w:pPr>
              <w:keepNext w:val="0"/>
              <w:keepLines w:val="0"/>
              <w:widowControl/>
              <w:suppressLineNumbers w:val="0"/>
              <w:jc w:val="center"/>
              <w:rPr>
                <w:rFonts w:hint="default" w:ascii="Times New Roman" w:hAnsi="Times New Roman" w:eastAsia="黑体" w:cs="Times New Roman"/>
                <w:b w:val="0"/>
                <w:bCs w:val="0"/>
                <w:color w:val="auto"/>
                <w:kern w:val="0"/>
                <w:sz w:val="22"/>
                <w:szCs w:val="22"/>
                <w:lang w:val="en-US" w:eastAsia="zh-CN" w:bidi="ar"/>
              </w:rPr>
            </w:pPr>
            <w:r>
              <w:rPr>
                <w:rFonts w:hint="eastAsia" w:ascii="Times New Roman" w:hAnsi="Times New Roman" w:eastAsia="黑体" w:cs="Times New Roman"/>
                <w:b w:val="0"/>
                <w:bCs w:val="0"/>
                <w:color w:val="auto"/>
                <w:kern w:val="0"/>
                <w:sz w:val="24"/>
                <w:szCs w:val="24"/>
                <w:lang w:val="en-US" w:eastAsia="zh-CN" w:bidi="ar"/>
              </w:rPr>
              <w:t xml:space="preserve">        </w:t>
            </w:r>
            <w:r>
              <w:rPr>
                <w:rFonts w:hint="default" w:ascii="Times New Roman" w:hAnsi="Times New Roman" w:eastAsia="黑体" w:cs="Times New Roman"/>
                <w:b w:val="0"/>
                <w:bCs w:val="0"/>
                <w:color w:val="auto"/>
                <w:kern w:val="0"/>
                <w:sz w:val="24"/>
                <w:szCs w:val="24"/>
                <w:lang w:val="en-US" w:eastAsia="zh-CN" w:bidi="ar"/>
              </w:rPr>
              <w:t>表</w:t>
            </w:r>
            <w:r>
              <w:rPr>
                <w:rFonts w:hint="eastAsia" w:eastAsia="黑体" w:cs="Times New Roman"/>
                <w:b w:val="0"/>
                <w:bCs w:val="0"/>
                <w:color w:val="auto"/>
                <w:kern w:val="0"/>
                <w:sz w:val="24"/>
                <w:szCs w:val="24"/>
                <w:lang w:val="en-US" w:eastAsia="zh-CN" w:bidi="ar"/>
              </w:rPr>
              <w:t>1-</w:t>
            </w:r>
            <w:r>
              <w:rPr>
                <w:rFonts w:hint="default" w:ascii="Times New Roman" w:hAnsi="Times New Roman" w:eastAsia="黑体" w:cs="Times New Roman"/>
                <w:b w:val="0"/>
                <w:bCs w:val="0"/>
                <w:color w:val="auto"/>
                <w:kern w:val="0"/>
                <w:sz w:val="24"/>
                <w:szCs w:val="24"/>
                <w:lang w:val="en-US" w:eastAsia="zh-CN" w:bidi="ar"/>
              </w:rPr>
              <w:t xml:space="preserve">6  加油站内设施内部建构筑物防火间距表 </w:t>
            </w:r>
            <w:r>
              <w:rPr>
                <w:rFonts w:hint="eastAsia" w:ascii="Times New Roman" w:hAnsi="Times New Roman" w:eastAsia="黑体" w:cs="Times New Roman"/>
                <w:b w:val="0"/>
                <w:bCs w:val="0"/>
                <w:color w:val="auto"/>
                <w:kern w:val="0"/>
                <w:sz w:val="24"/>
                <w:szCs w:val="24"/>
                <w:lang w:val="en-US" w:eastAsia="zh-CN" w:bidi="ar"/>
              </w:rPr>
              <w:t xml:space="preserve">     </w:t>
            </w:r>
            <w:r>
              <w:rPr>
                <w:rFonts w:hint="default" w:ascii="Times New Roman" w:hAnsi="Times New Roman" w:eastAsia="黑体" w:cs="Times New Roman"/>
                <w:b w:val="0"/>
                <w:bCs w:val="0"/>
                <w:color w:val="auto"/>
                <w:kern w:val="0"/>
                <w:sz w:val="20"/>
                <w:szCs w:val="20"/>
                <w:lang w:val="en-US" w:eastAsia="zh-CN" w:bidi="ar"/>
              </w:rPr>
              <w:t>单位：m</w:t>
            </w:r>
          </w:p>
          <w:tbl>
            <w:tblPr>
              <w:tblStyle w:val="27"/>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7"/>
              <w:gridCol w:w="874"/>
              <w:gridCol w:w="810"/>
              <w:gridCol w:w="1063"/>
              <w:gridCol w:w="1043"/>
              <w:gridCol w:w="963"/>
              <w:gridCol w:w="1020"/>
              <w:gridCol w:w="1043"/>
              <w:gridCol w:w="8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2" w:type="pct"/>
                  <w:gridSpan w:val="2"/>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加油站设施</w:t>
                  </w:r>
                </w:p>
              </w:tc>
              <w:tc>
                <w:tcPr>
                  <w:tcW w:w="467"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储罐</w:t>
                  </w:r>
                </w:p>
              </w:tc>
              <w:tc>
                <w:tcPr>
                  <w:tcW w:w="613"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通气</w:t>
                  </w:r>
                </w:p>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管口</w:t>
                  </w:r>
                </w:p>
              </w:tc>
              <w:tc>
                <w:tcPr>
                  <w:tcW w:w="601"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卸油口</w:t>
                  </w:r>
                </w:p>
              </w:tc>
              <w:tc>
                <w:tcPr>
                  <w:tcW w:w="555"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站房</w:t>
                  </w:r>
                </w:p>
              </w:tc>
              <w:tc>
                <w:tcPr>
                  <w:tcW w:w="588"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配电间</w:t>
                  </w:r>
                </w:p>
              </w:tc>
              <w:tc>
                <w:tcPr>
                  <w:tcW w:w="601"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发电间</w:t>
                  </w:r>
                </w:p>
              </w:tc>
              <w:tc>
                <w:tcPr>
                  <w:tcW w:w="470"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围墙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8" w:type="pct"/>
                  <w:vMerge w:val="restar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储罐</w:t>
                  </w:r>
                </w:p>
              </w:tc>
              <w:tc>
                <w:tcPr>
                  <w:tcW w:w="503"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标准</w:t>
                  </w:r>
                </w:p>
              </w:tc>
              <w:tc>
                <w:tcPr>
                  <w:tcW w:w="467"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w:t>
                  </w:r>
                </w:p>
              </w:tc>
              <w:tc>
                <w:tcPr>
                  <w:tcW w:w="613"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601"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555"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8.5(6)</w:t>
                  </w:r>
                </w:p>
              </w:tc>
              <w:tc>
                <w:tcPr>
                  <w:tcW w:w="588"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4.5</w:t>
                  </w:r>
                </w:p>
              </w:tc>
              <w:tc>
                <w:tcPr>
                  <w:tcW w:w="601"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8(6)</w:t>
                  </w:r>
                </w:p>
              </w:tc>
              <w:tc>
                <w:tcPr>
                  <w:tcW w:w="470"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8" w:type="pct"/>
                  <w:vMerge w:val="continue"/>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rPr>
                  </w:pPr>
                </w:p>
              </w:tc>
              <w:tc>
                <w:tcPr>
                  <w:tcW w:w="503"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实际</w:t>
                  </w:r>
                </w:p>
              </w:tc>
              <w:tc>
                <w:tcPr>
                  <w:tcW w:w="467"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c>
                <w:tcPr>
                  <w:tcW w:w="613"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601"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555"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62</w:t>
                  </w:r>
                </w:p>
              </w:tc>
              <w:tc>
                <w:tcPr>
                  <w:tcW w:w="588"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55</w:t>
                  </w:r>
                </w:p>
              </w:tc>
              <w:tc>
                <w:tcPr>
                  <w:tcW w:w="601"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60</w:t>
                  </w:r>
                </w:p>
              </w:tc>
              <w:tc>
                <w:tcPr>
                  <w:tcW w:w="470"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8" w:type="pct"/>
                  <w:vMerge w:val="restar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加油机</w:t>
                  </w:r>
                </w:p>
              </w:tc>
              <w:tc>
                <w:tcPr>
                  <w:tcW w:w="503"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标准</w:t>
                  </w:r>
                </w:p>
              </w:tc>
              <w:tc>
                <w:tcPr>
                  <w:tcW w:w="467"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613"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601"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w:t>
                  </w:r>
                </w:p>
              </w:tc>
              <w:tc>
                <w:tcPr>
                  <w:tcW w:w="555"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7(6)</w:t>
                  </w:r>
                </w:p>
              </w:tc>
              <w:tc>
                <w:tcPr>
                  <w:tcW w:w="588"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w:t>
                  </w:r>
                </w:p>
              </w:tc>
              <w:tc>
                <w:tcPr>
                  <w:tcW w:w="601"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8(6)</w:t>
                  </w:r>
                </w:p>
              </w:tc>
              <w:tc>
                <w:tcPr>
                  <w:tcW w:w="470"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8" w:type="pct"/>
                  <w:vMerge w:val="continue"/>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rPr>
                  </w:pPr>
                </w:p>
              </w:tc>
              <w:tc>
                <w:tcPr>
                  <w:tcW w:w="503"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实际</w:t>
                  </w:r>
                </w:p>
              </w:tc>
              <w:tc>
                <w:tcPr>
                  <w:tcW w:w="467"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613"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601"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w:t>
                  </w:r>
                </w:p>
              </w:tc>
              <w:tc>
                <w:tcPr>
                  <w:tcW w:w="555"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40</w:t>
                  </w:r>
                </w:p>
              </w:tc>
              <w:tc>
                <w:tcPr>
                  <w:tcW w:w="588"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33</w:t>
                  </w:r>
                </w:p>
              </w:tc>
              <w:tc>
                <w:tcPr>
                  <w:tcW w:w="601"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38</w:t>
                  </w:r>
                </w:p>
              </w:tc>
              <w:tc>
                <w:tcPr>
                  <w:tcW w:w="470"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8" w:type="pct"/>
                  <w:vMerge w:val="restar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通气</w:t>
                  </w:r>
                </w:p>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管口</w:t>
                  </w:r>
                </w:p>
              </w:tc>
              <w:tc>
                <w:tcPr>
                  <w:tcW w:w="503"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标准</w:t>
                  </w:r>
                </w:p>
              </w:tc>
              <w:tc>
                <w:tcPr>
                  <w:tcW w:w="467"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613"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601"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3(2)</w:t>
                  </w:r>
                </w:p>
              </w:tc>
              <w:tc>
                <w:tcPr>
                  <w:tcW w:w="555"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7(6)</w:t>
                  </w:r>
                </w:p>
              </w:tc>
              <w:tc>
                <w:tcPr>
                  <w:tcW w:w="588"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w:t>
                  </w:r>
                </w:p>
              </w:tc>
              <w:tc>
                <w:tcPr>
                  <w:tcW w:w="601"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8(6)</w:t>
                  </w:r>
                </w:p>
              </w:tc>
              <w:tc>
                <w:tcPr>
                  <w:tcW w:w="470"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8" w:type="pct"/>
                  <w:vMerge w:val="continue"/>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rPr>
                  </w:pPr>
                </w:p>
              </w:tc>
              <w:tc>
                <w:tcPr>
                  <w:tcW w:w="503"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实际</w:t>
                  </w:r>
                </w:p>
              </w:tc>
              <w:tc>
                <w:tcPr>
                  <w:tcW w:w="467"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613"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601"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555"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55</w:t>
                  </w:r>
                </w:p>
              </w:tc>
              <w:tc>
                <w:tcPr>
                  <w:tcW w:w="588"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48</w:t>
                  </w:r>
                </w:p>
              </w:tc>
              <w:tc>
                <w:tcPr>
                  <w:tcW w:w="601"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53</w:t>
                  </w:r>
                </w:p>
              </w:tc>
              <w:tc>
                <w:tcPr>
                  <w:tcW w:w="470"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8" w:type="pct"/>
                  <w:vMerge w:val="restar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卸油口</w:t>
                  </w:r>
                </w:p>
              </w:tc>
              <w:tc>
                <w:tcPr>
                  <w:tcW w:w="503"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标准</w:t>
                  </w:r>
                </w:p>
              </w:tc>
              <w:tc>
                <w:tcPr>
                  <w:tcW w:w="467"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w:t>
                  </w:r>
                </w:p>
              </w:tc>
              <w:tc>
                <w:tcPr>
                  <w:tcW w:w="613"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3(2)</w:t>
                  </w:r>
                </w:p>
              </w:tc>
              <w:tc>
                <w:tcPr>
                  <w:tcW w:w="601"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w:t>
                  </w:r>
                </w:p>
              </w:tc>
              <w:tc>
                <w:tcPr>
                  <w:tcW w:w="555"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w:t>
                  </w:r>
                </w:p>
              </w:tc>
              <w:tc>
                <w:tcPr>
                  <w:tcW w:w="588"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4.5</w:t>
                  </w:r>
                </w:p>
              </w:tc>
              <w:tc>
                <w:tcPr>
                  <w:tcW w:w="601"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w:t>
                  </w:r>
                </w:p>
              </w:tc>
              <w:tc>
                <w:tcPr>
                  <w:tcW w:w="470"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8" w:type="pct"/>
                  <w:vMerge w:val="continue"/>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rPr>
                  </w:pPr>
                </w:p>
              </w:tc>
              <w:tc>
                <w:tcPr>
                  <w:tcW w:w="503"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实际</w:t>
                  </w:r>
                </w:p>
              </w:tc>
              <w:tc>
                <w:tcPr>
                  <w:tcW w:w="467"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w:t>
                  </w:r>
                </w:p>
              </w:tc>
              <w:tc>
                <w:tcPr>
                  <w:tcW w:w="613"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601"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w:t>
                  </w:r>
                </w:p>
              </w:tc>
              <w:tc>
                <w:tcPr>
                  <w:tcW w:w="555"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45</w:t>
                  </w:r>
                </w:p>
              </w:tc>
              <w:tc>
                <w:tcPr>
                  <w:tcW w:w="588"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38</w:t>
                  </w:r>
                </w:p>
              </w:tc>
              <w:tc>
                <w:tcPr>
                  <w:tcW w:w="601"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43</w:t>
                  </w:r>
                </w:p>
              </w:tc>
              <w:tc>
                <w:tcPr>
                  <w:tcW w:w="470" w:type="pct"/>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r>
          </w:tbl>
          <w:p>
            <w:pPr>
              <w:pStyle w:val="18"/>
              <w:ind w:firstLine="196" w:firstLineChars="100"/>
              <w:rPr>
                <w:rFonts w:hint="default" w:ascii="Times New Roman" w:hAnsi="Times New Roman" w:cs="Times New Roman"/>
                <w:b/>
                <w:bCs/>
                <w:color w:val="auto"/>
                <w:sz w:val="18"/>
                <w:szCs w:val="20"/>
              </w:rPr>
            </w:pPr>
            <w:r>
              <w:rPr>
                <w:rFonts w:hint="default" w:ascii="Times New Roman" w:hAnsi="Times New Roman" w:cs="Times New Roman"/>
                <w:b/>
                <w:bCs/>
                <w:color w:val="auto"/>
                <w:sz w:val="18"/>
                <w:szCs w:val="20"/>
              </w:rPr>
              <w:t>注：括号内是柴油设备的距离</w:t>
            </w:r>
          </w:p>
          <w:p>
            <w:pPr>
              <w:keepNext w:val="0"/>
              <w:keepLines w:val="0"/>
              <w:pageBreakBefore w:val="0"/>
              <w:widowControl/>
              <w:suppressLineNumbers w:val="0"/>
              <w:kinsoku/>
              <w:wordWrap/>
              <w:overflowPunct/>
              <w:topLinePunct w:val="0"/>
              <w:autoSpaceDE/>
              <w:autoSpaceDN/>
              <w:bidi w:val="0"/>
              <w:adjustRightInd/>
              <w:snapToGrid/>
              <w:ind w:firstLine="512"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w:t>
            </w:r>
            <w:r>
              <w:rPr>
                <w:rFonts w:hint="default" w:ascii="Times New Roman" w:hAnsi="Times New Roman" w:eastAsia="宋体" w:cs="Times New Roman"/>
                <w:color w:val="auto"/>
                <w:sz w:val="24"/>
                <w:szCs w:val="24"/>
                <w:lang w:val="en-US" w:eastAsia="zh-CN"/>
              </w:rPr>
              <w:t>上述分析</w:t>
            </w:r>
            <w:r>
              <w:rPr>
                <w:rFonts w:hint="default" w:ascii="Times New Roman" w:hAnsi="Times New Roman" w:eastAsia="宋体" w:cs="Times New Roman"/>
                <w:color w:val="auto"/>
                <w:sz w:val="24"/>
                <w:szCs w:val="24"/>
              </w:rPr>
              <w:t>可</w:t>
            </w:r>
            <w:r>
              <w:rPr>
                <w:rFonts w:hint="default" w:ascii="Times New Roman" w:hAnsi="Times New Roman" w:eastAsia="宋体" w:cs="Times New Roman"/>
                <w:color w:val="auto"/>
                <w:sz w:val="24"/>
                <w:szCs w:val="24"/>
                <w:lang w:val="en-US" w:eastAsia="zh-CN"/>
              </w:rPr>
              <w:t>得</w:t>
            </w:r>
            <w:r>
              <w:rPr>
                <w:rFonts w:hint="default" w:ascii="Times New Roman" w:hAnsi="Times New Roman" w:eastAsia="宋体" w:cs="Times New Roman"/>
                <w:color w:val="auto"/>
                <w:sz w:val="24"/>
                <w:szCs w:val="24"/>
              </w:rPr>
              <w:t>，项目工艺设施与站外建、构筑物的安全防火距离满足《汽车加油加气加氢站技术标准》(GB50516-2021)（2014年版）等规定中相关要求。</w:t>
            </w:r>
          </w:p>
          <w:p>
            <w:pPr>
              <w:ind w:firstLine="51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③按照当地交通部门要求，项目建设应符合《公路安全保护条例》中相关要求。条例中要求：国道不少于20m；省道不少于15m；县道不少于10m；乡道不少于5m。本项目</w:t>
            </w:r>
            <w:r>
              <w:rPr>
                <w:rFonts w:hint="default" w:ascii="Times New Roman" w:hAnsi="Times New Roman" w:eastAsia="宋体" w:cs="Times New Roman"/>
                <w:color w:val="auto"/>
                <w:sz w:val="24"/>
                <w:szCs w:val="24"/>
                <w:lang w:val="en-US" w:eastAsia="zh-CN"/>
              </w:rPr>
              <w:t>西侧为109国道，距离为50m</w:t>
            </w:r>
            <w:r>
              <w:rPr>
                <w:rFonts w:hint="default" w:ascii="Times New Roman" w:hAnsi="Times New Roman" w:eastAsia="宋体" w:cs="Times New Roman"/>
                <w:color w:val="auto"/>
                <w:sz w:val="24"/>
                <w:szCs w:val="24"/>
              </w:rPr>
              <w:t>，北侧、东侧、南侧均为空地</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符合《公路安全保护条例》中要求。</w:t>
            </w:r>
          </w:p>
          <w:p>
            <w:pPr>
              <w:bidi w:val="0"/>
              <w:ind w:firstLine="51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④本项目不在自然保护区、风景名胜区</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生态保护红线管控范围内。</w:t>
            </w:r>
          </w:p>
          <w:p>
            <w:pPr>
              <w:ind w:firstLine="512" w:firstLineChars="200"/>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4"/>
                <w:szCs w:val="24"/>
              </w:rPr>
              <w:t>⑤</w:t>
            </w:r>
            <w:r>
              <w:rPr>
                <w:rFonts w:hint="eastAsia" w:cs="Times New Roman"/>
                <w:color w:val="auto"/>
                <w:sz w:val="24"/>
                <w:szCs w:val="24"/>
                <w:lang w:val="en-US" w:eastAsia="zh-CN"/>
              </w:rPr>
              <w:t>本项目北侧300m处为</w:t>
            </w:r>
            <w:r>
              <w:rPr>
                <w:rFonts w:hint="default" w:ascii="Times New Roman" w:hAnsi="Times New Roman" w:eastAsia="宋体" w:cs="Times New Roman"/>
                <w:color w:val="auto"/>
                <w:sz w:val="24"/>
                <w:szCs w:val="24"/>
              </w:rPr>
              <w:t>宁夏中宁宁新实业有限公司</w:t>
            </w:r>
            <w:r>
              <w:rPr>
                <w:rFonts w:hint="default" w:ascii="Times New Roman" w:hAnsi="Times New Roman" w:eastAsia="宋体" w:cs="Times New Roman"/>
                <w:color w:val="auto"/>
                <w:sz w:val="24"/>
                <w:szCs w:val="24"/>
                <w:lang w:val="en-US" w:eastAsia="zh-CN"/>
              </w:rPr>
              <w:t>于2004年</w:t>
            </w:r>
            <w:r>
              <w:rPr>
                <w:rFonts w:hint="default" w:ascii="Times New Roman" w:hAnsi="Times New Roman" w:eastAsia="宋体" w:cs="Times New Roman"/>
                <w:b w:val="0"/>
                <w:color w:val="auto"/>
                <w:sz w:val="24"/>
                <w:szCs w:val="24"/>
                <w:lang w:val="en-US" w:eastAsia="zh-CN"/>
              </w:rPr>
              <w:t>建设</w:t>
            </w:r>
            <w:r>
              <w:rPr>
                <w:rFonts w:hint="eastAsia" w:cs="Times New Roman"/>
                <w:b w:val="0"/>
                <w:color w:val="auto"/>
                <w:sz w:val="24"/>
                <w:szCs w:val="24"/>
                <w:lang w:val="en-US" w:eastAsia="zh-CN"/>
              </w:rPr>
              <w:t>的一座</w:t>
            </w:r>
            <w:r>
              <w:rPr>
                <w:rFonts w:hint="default" w:ascii="Times New Roman" w:hAnsi="Times New Roman" w:eastAsia="宋体" w:cs="Times New Roman"/>
                <w:b w:val="0"/>
                <w:color w:val="auto"/>
                <w:sz w:val="24"/>
                <w:szCs w:val="24"/>
                <w:lang w:val="en-US" w:eastAsia="zh-CN"/>
              </w:rPr>
              <w:t>加油加气站</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现状运行良好</w:t>
            </w:r>
            <w:r>
              <w:rPr>
                <w:rFonts w:hint="eastAsia" w:cs="Times New Roman"/>
                <w:color w:val="auto"/>
                <w:sz w:val="24"/>
                <w:szCs w:val="24"/>
                <w:lang w:val="en-US" w:eastAsia="zh-CN"/>
              </w:rPr>
              <w:t>。但该加油加气站地处交通繁华十字路口，每逢加油加气高峰期，会出现占用省道、国道（快速路）排队的情况，存在安全隐患，本次拟建项目充分考虑降低安全隐患，决定在该项目南侧300m空地处新建一座加油站（本项目）。</w:t>
            </w:r>
          </w:p>
          <w:p>
            <w:pPr>
              <w:bidi w:val="0"/>
              <w:ind w:firstLine="512" w:firstLineChars="200"/>
              <w:rPr>
                <w:rFonts w:hint="eastAsia" w:cs="Times New Roman"/>
                <w:color w:val="auto"/>
                <w:sz w:val="24"/>
                <w:szCs w:val="24"/>
                <w:lang w:val="en-US" w:eastAsia="zh-CN"/>
              </w:rPr>
            </w:pPr>
            <w:r>
              <w:rPr>
                <w:rFonts w:hint="default" w:ascii="Times New Roman" w:hAnsi="Times New Roman" w:eastAsia="宋体" w:cs="Times New Roman"/>
                <w:color w:val="auto"/>
                <w:sz w:val="24"/>
                <w:szCs w:val="24"/>
              </w:rPr>
              <w:t>综上所述，项目油罐区、加油机、通气管管口与站外建、构筑物的防火距离满足《汽车加油加气加氢站技术标准》（GB50516-2021）等相关距离要求，项目厂界与公路距离满足《公路安全保护条例》中控制区范围；周边无自然保护区、风景名胜区，不在生态保护红线管控范围内，项目选址可行</w:t>
            </w:r>
            <w:r>
              <w:rPr>
                <w:rFonts w:hint="default" w:ascii="Times New Roman" w:hAnsi="Times New Roman" w:eastAsia="宋体" w:cs="Times New Roman"/>
                <w:color w:val="auto"/>
                <w:sz w:val="24"/>
                <w:szCs w:val="24"/>
                <w:lang w:eastAsia="zh-CN"/>
              </w:rPr>
              <w:t>。</w:t>
            </w:r>
          </w:p>
          <w:p>
            <w:pPr>
              <w:ind w:firstLine="452" w:firstLineChars="200"/>
              <w:rPr>
                <w:rFonts w:hint="default"/>
                <w:color w:val="auto"/>
                <w:lang w:val="en-US" w:eastAsia="zh-CN"/>
              </w:rPr>
            </w:pPr>
          </w:p>
          <w:p>
            <w:pPr>
              <w:pStyle w:val="2"/>
              <w:rPr>
                <w:rFonts w:hint="default"/>
                <w:color w:val="auto"/>
                <w:lang w:val="en-US" w:eastAsia="zh-CN"/>
              </w:rPr>
            </w:pPr>
          </w:p>
          <w:p>
            <w:pPr>
              <w:rPr>
                <w:rFonts w:hint="default"/>
                <w:color w:val="auto"/>
                <w:lang w:val="en-US" w:eastAsia="zh-CN"/>
              </w:rPr>
            </w:pPr>
          </w:p>
          <w:p>
            <w:pPr>
              <w:pStyle w:val="2"/>
              <w:rPr>
                <w:rFonts w:hint="default"/>
                <w:color w:val="auto"/>
                <w:lang w:val="en-US" w:eastAsia="zh-CN"/>
              </w:rPr>
            </w:pPr>
          </w:p>
          <w:p>
            <w:pPr>
              <w:rPr>
                <w:rFonts w:hint="default"/>
                <w:color w:val="auto"/>
                <w:lang w:val="en-US" w:eastAsia="zh-CN"/>
              </w:rPr>
            </w:pPr>
          </w:p>
          <w:p>
            <w:pPr>
              <w:pStyle w:val="2"/>
              <w:rPr>
                <w:rFonts w:hint="default"/>
                <w:color w:val="auto"/>
                <w:lang w:val="en-US" w:eastAsia="zh-CN"/>
              </w:rPr>
            </w:pPr>
          </w:p>
          <w:p>
            <w:pPr>
              <w:pStyle w:val="2"/>
              <w:rPr>
                <w:rFonts w:hint="default"/>
                <w:color w:val="auto"/>
                <w:lang w:eastAsia="zh-CN"/>
              </w:rPr>
            </w:pPr>
          </w:p>
          <w:p>
            <w:pPr>
              <w:bidi w:val="0"/>
              <w:ind w:firstLine="0" w:firstLineChars="0"/>
              <w:rPr>
                <w:rFonts w:hint="eastAsia"/>
                <w:color w:val="auto"/>
                <w:sz w:val="24"/>
                <w:szCs w:val="24"/>
                <w:lang w:val="en-US" w:eastAsia="zh-CN"/>
              </w:rPr>
            </w:pPr>
          </w:p>
          <w:p>
            <w:pPr>
              <w:bidi w:val="0"/>
              <w:ind w:firstLine="0" w:firstLineChars="0"/>
              <w:rPr>
                <w:rFonts w:hint="eastAsia"/>
                <w:color w:val="auto"/>
                <w:sz w:val="24"/>
                <w:szCs w:val="24"/>
                <w:lang w:val="en-US" w:eastAsia="zh-CN"/>
              </w:rPr>
            </w:pPr>
          </w:p>
          <w:p>
            <w:pPr>
              <w:bidi w:val="0"/>
              <w:ind w:firstLine="0" w:firstLineChars="0"/>
              <w:rPr>
                <w:rFonts w:hint="eastAsia"/>
                <w:color w:val="auto"/>
                <w:sz w:val="24"/>
                <w:szCs w:val="24"/>
                <w:lang w:val="en-US" w:eastAsia="zh-CN"/>
              </w:rPr>
            </w:pPr>
          </w:p>
          <w:p>
            <w:pPr>
              <w:bidi w:val="0"/>
              <w:ind w:firstLine="0" w:firstLineChars="0"/>
              <w:rPr>
                <w:rFonts w:hint="eastAsia"/>
                <w:color w:val="auto"/>
                <w:sz w:val="24"/>
                <w:szCs w:val="24"/>
                <w:lang w:val="en-US" w:eastAsia="zh-CN"/>
              </w:rPr>
            </w:pPr>
          </w:p>
          <w:p>
            <w:pPr>
              <w:bidi w:val="0"/>
              <w:ind w:firstLine="0" w:firstLineChars="0"/>
              <w:rPr>
                <w:rFonts w:hint="eastAsia"/>
                <w:color w:val="auto"/>
                <w:sz w:val="24"/>
                <w:szCs w:val="24"/>
                <w:lang w:val="en-US" w:eastAsia="zh-CN"/>
              </w:rPr>
            </w:pPr>
          </w:p>
          <w:p>
            <w:pPr>
              <w:bidi w:val="0"/>
              <w:ind w:firstLine="0" w:firstLineChars="0"/>
              <w:rPr>
                <w:rFonts w:hint="eastAsia"/>
                <w:color w:val="auto"/>
                <w:sz w:val="24"/>
                <w:szCs w:val="24"/>
                <w:lang w:val="en-US" w:eastAsia="zh-CN"/>
              </w:rPr>
            </w:pPr>
          </w:p>
          <w:p>
            <w:pPr>
              <w:bidi w:val="0"/>
              <w:ind w:firstLine="0" w:firstLineChars="0"/>
              <w:rPr>
                <w:rFonts w:hint="eastAsia"/>
                <w:color w:val="auto"/>
                <w:sz w:val="24"/>
                <w:szCs w:val="24"/>
                <w:lang w:val="en-US" w:eastAsia="zh-CN"/>
              </w:rPr>
            </w:pPr>
          </w:p>
          <w:p>
            <w:pPr>
              <w:bidi w:val="0"/>
              <w:ind w:firstLine="0" w:firstLineChars="0"/>
              <w:rPr>
                <w:rFonts w:hint="eastAsia"/>
                <w:color w:val="auto"/>
                <w:sz w:val="24"/>
                <w:szCs w:val="24"/>
                <w:lang w:val="en-US" w:eastAsia="zh-CN"/>
              </w:rPr>
            </w:pPr>
          </w:p>
          <w:p>
            <w:pPr>
              <w:bidi w:val="0"/>
              <w:ind w:firstLine="0" w:firstLineChars="0"/>
              <w:rPr>
                <w:rFonts w:hint="eastAsia"/>
                <w:color w:val="auto"/>
                <w:sz w:val="24"/>
                <w:szCs w:val="24"/>
                <w:lang w:val="en-US" w:eastAsia="zh-CN"/>
              </w:rPr>
            </w:pPr>
          </w:p>
          <w:p>
            <w:pPr>
              <w:bidi w:val="0"/>
              <w:ind w:firstLine="0" w:firstLineChars="0"/>
              <w:rPr>
                <w:rFonts w:hint="eastAsia"/>
                <w:color w:val="auto"/>
                <w:sz w:val="24"/>
                <w:szCs w:val="24"/>
                <w:lang w:val="en-US" w:eastAsia="zh-CN"/>
              </w:rPr>
            </w:pPr>
          </w:p>
          <w:p>
            <w:pPr>
              <w:bidi w:val="0"/>
              <w:ind w:firstLine="0" w:firstLineChars="0"/>
              <w:rPr>
                <w:rFonts w:hint="eastAsia"/>
                <w:color w:val="auto"/>
                <w:sz w:val="24"/>
                <w:szCs w:val="24"/>
                <w:lang w:val="en-US" w:eastAsia="zh-CN"/>
              </w:rPr>
            </w:pPr>
          </w:p>
          <w:p>
            <w:pPr>
              <w:bidi w:val="0"/>
              <w:ind w:firstLine="0" w:firstLineChars="0"/>
              <w:rPr>
                <w:rFonts w:hint="eastAsia"/>
                <w:color w:val="auto"/>
                <w:sz w:val="24"/>
                <w:szCs w:val="24"/>
                <w:lang w:val="en-US" w:eastAsia="zh-CN"/>
              </w:rPr>
            </w:pPr>
          </w:p>
          <w:p>
            <w:pPr>
              <w:bidi w:val="0"/>
              <w:ind w:firstLine="0" w:firstLineChars="0"/>
              <w:rPr>
                <w:rFonts w:hint="eastAsia"/>
                <w:color w:val="auto"/>
                <w:sz w:val="24"/>
                <w:szCs w:val="24"/>
                <w:lang w:val="en-US" w:eastAsia="zh-CN"/>
              </w:rPr>
            </w:pPr>
          </w:p>
        </w:tc>
      </w:tr>
    </w:tbl>
    <w:p>
      <w:pPr>
        <w:spacing w:line="360" w:lineRule="auto"/>
        <w:outlineLvl w:val="0"/>
        <w:rPr>
          <w:rFonts w:eastAsia="黑体"/>
          <w:color w:val="auto"/>
          <w:sz w:val="30"/>
        </w:rPr>
        <w:sectPr>
          <w:footerReference r:id="rId4" w:type="default"/>
          <w:pgSz w:w="11905" w:h="16838"/>
          <w:pgMar w:top="1417" w:right="1417" w:bottom="1417" w:left="1417" w:header="851" w:footer="964" w:gutter="0"/>
          <w:pgBorders>
            <w:top w:val="none" w:sz="0" w:space="0"/>
            <w:left w:val="none" w:sz="0" w:space="0"/>
            <w:bottom w:val="none" w:sz="0" w:space="0"/>
            <w:right w:val="none" w:sz="0" w:space="0"/>
          </w:pgBorders>
          <w:pgNumType w:start="1"/>
          <w:cols w:space="720" w:num="1"/>
          <w:docGrid w:type="linesAndChars" w:linePitch="466" w:charSpace="3435"/>
        </w:sectPr>
      </w:pP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二、建设项目工程分析</w:t>
      </w:r>
    </w:p>
    <w:tbl>
      <w:tblPr>
        <w:tblStyle w:val="26"/>
        <w:tblW w:w="975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9072"/>
        <w:gridCol w:w="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dxa"/>
            <w:vAlign w:val="center"/>
          </w:tcPr>
          <w:p>
            <w:pPr>
              <w:pStyle w:val="22"/>
              <w:adjustRightInd w:val="0"/>
              <w:snapToGrid w:val="0"/>
              <w:spacing w:before="0" w:beforeAutospacing="0" w:after="0" w:afterAutospacing="0"/>
              <w:jc w:val="center"/>
              <w:rPr>
                <w:rFonts w:ascii="Times New Roman" w:hAnsi="Times New Roman"/>
                <w:b/>
                <w:bCs/>
                <w:color w:val="auto"/>
                <w:szCs w:val="21"/>
              </w:rPr>
            </w:pPr>
            <w:r>
              <w:rPr>
                <w:rFonts w:ascii="Times New Roman" w:hAnsi="Times New Roman"/>
                <w:b/>
                <w:bCs/>
                <w:color w:val="auto"/>
                <w:szCs w:val="21"/>
              </w:rPr>
              <w:t>建设</w:t>
            </w:r>
          </w:p>
          <w:p>
            <w:pPr>
              <w:pStyle w:val="22"/>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b/>
                <w:bCs/>
                <w:color w:val="auto"/>
                <w:szCs w:val="21"/>
              </w:rPr>
              <w:t>内容</w:t>
            </w:r>
          </w:p>
        </w:tc>
        <w:tc>
          <w:tcPr>
            <w:tcW w:w="9127" w:type="dxa"/>
            <w:gridSpan w:val="2"/>
          </w:tcPr>
          <w:p>
            <w:pPr>
              <w:jc w:val="left"/>
              <w:rPr>
                <w:rFonts w:eastAsia="黑体"/>
                <w:color w:val="auto"/>
                <w:kern w:val="0"/>
                <w:sz w:val="24"/>
              </w:rPr>
            </w:pPr>
            <w:r>
              <w:rPr>
                <w:rFonts w:eastAsia="黑体"/>
                <w:color w:val="auto"/>
                <w:kern w:val="0"/>
                <w:sz w:val="24"/>
              </w:rPr>
              <w:t>1项目建设内容与规模</w:t>
            </w:r>
          </w:p>
          <w:p>
            <w:pPr>
              <w:pStyle w:val="32"/>
              <w:jc w:val="both"/>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kern w:val="0"/>
                <w:sz w:val="24"/>
                <w:szCs w:val="24"/>
                <w:lang w:val="en-US" w:eastAsia="zh-CN"/>
              </w:rPr>
              <w:t>1.</w:t>
            </w:r>
            <w:r>
              <w:rPr>
                <w:rFonts w:hint="eastAsia" w:ascii="Times New Roman" w:hAnsi="Times New Roman" w:eastAsia="黑体" w:cs="Times New Roman"/>
                <w:color w:val="auto"/>
                <w:kern w:val="0"/>
                <w:sz w:val="24"/>
                <w:szCs w:val="24"/>
                <w:lang w:val="en-US" w:eastAsia="zh-CN"/>
              </w:rPr>
              <w:t>1</w:t>
            </w:r>
            <w:r>
              <w:rPr>
                <w:rFonts w:hint="default" w:ascii="Times New Roman" w:hAnsi="Times New Roman" w:eastAsia="黑体" w:cs="Times New Roman"/>
                <w:color w:val="auto"/>
                <w:kern w:val="0"/>
                <w:sz w:val="24"/>
                <w:szCs w:val="24"/>
                <w:lang w:val="en-US" w:eastAsia="zh-CN"/>
              </w:rPr>
              <w:t>建设地点</w:t>
            </w:r>
          </w:p>
          <w:p>
            <w:pPr>
              <w:pStyle w:val="43"/>
              <w:ind w:firstLine="514"/>
              <w:rPr>
                <w:rFonts w:hint="default"/>
                <w:color w:val="auto"/>
                <w:lang w:val="en-US" w:eastAsia="zh-CN"/>
              </w:rPr>
            </w:pPr>
            <w:r>
              <w:rPr>
                <w:color w:val="auto"/>
              </w:rPr>
              <w:t>《</w:t>
            </w:r>
            <w:r>
              <w:rPr>
                <w:rFonts w:hint="eastAsia"/>
                <w:color w:val="auto"/>
              </w:rPr>
              <w:t>宁夏中宁宁新实业有限公司新堡加油站改扩建项目</w:t>
            </w:r>
            <w:r>
              <w:rPr>
                <w:color w:val="auto"/>
              </w:rPr>
              <w:t>》</w:t>
            </w:r>
            <w:r>
              <w:rPr>
                <w:rFonts w:hint="eastAsia"/>
                <w:color w:val="auto"/>
              </w:rPr>
              <w:t>（以下简称“本项目”）</w:t>
            </w:r>
            <w:r>
              <w:rPr>
                <w:color w:val="auto"/>
              </w:rPr>
              <w:t>位于</w:t>
            </w:r>
            <w:r>
              <w:rPr>
                <w:rFonts w:hint="eastAsia"/>
                <w:color w:val="auto"/>
                <w:lang w:val="en-US" w:eastAsia="zh-CN"/>
              </w:rPr>
              <w:t>中宁县</w:t>
            </w:r>
            <w:r>
              <w:rPr>
                <w:rFonts w:hint="eastAsia" w:cs="Times New Roman"/>
                <w:b w:val="0"/>
                <w:color w:val="auto"/>
                <w:sz w:val="24"/>
                <w:szCs w:val="24"/>
                <w:lang w:val="en-US" w:eastAsia="zh-CN"/>
              </w:rPr>
              <w:t>新堡镇新堡村，</w:t>
            </w:r>
            <w:r>
              <w:rPr>
                <w:rFonts w:hint="eastAsia"/>
                <w:color w:val="auto"/>
                <w:lang w:val="en-US" w:eastAsia="zh-CN"/>
              </w:rPr>
              <w:t>所在区域已基本具备</w:t>
            </w:r>
            <w:r>
              <w:rPr>
                <w:rFonts w:hint="eastAsia"/>
                <w:color w:val="auto"/>
                <w:lang w:eastAsia="zh-CN"/>
              </w:rPr>
              <w:t>市政公用设施和公共设施，根据《城市规划基本术语标准》（GB/T50280—98）规定，</w:t>
            </w:r>
            <w:r>
              <w:rPr>
                <w:rFonts w:hint="eastAsia"/>
                <w:color w:val="auto"/>
                <w:lang w:val="en-US" w:eastAsia="zh-CN"/>
              </w:rPr>
              <w:t>城市建成区</w:t>
            </w:r>
            <w:r>
              <w:rPr>
                <w:rFonts w:hint="eastAsia"/>
                <w:color w:val="auto"/>
                <w:lang w:eastAsia="zh-CN"/>
              </w:rPr>
              <w:t>指城市行政区内实际已成片开发建设、市政公用设施和公共设施基本具备的地区，</w:t>
            </w:r>
            <w:r>
              <w:rPr>
                <w:rFonts w:hint="eastAsia"/>
                <w:color w:val="auto"/>
                <w:lang w:val="en-US" w:eastAsia="zh-CN"/>
              </w:rPr>
              <w:t>因此，本次评价认定项目的建设地点处于城市建成区内。</w:t>
            </w:r>
          </w:p>
          <w:p>
            <w:pPr>
              <w:pStyle w:val="43"/>
              <w:ind w:firstLine="514"/>
              <w:rPr>
                <w:color w:val="auto"/>
              </w:rPr>
            </w:pPr>
            <w:r>
              <w:rPr>
                <w:rFonts w:hint="eastAsia"/>
                <w:color w:val="auto"/>
              </w:rPr>
              <w:t>本</w:t>
            </w:r>
            <w:r>
              <w:rPr>
                <w:color w:val="auto"/>
              </w:rPr>
              <w:t>项目地理位置见图2-1，</w:t>
            </w:r>
            <w:r>
              <w:rPr>
                <w:rFonts w:hint="eastAsia"/>
                <w:color w:val="auto"/>
                <w:szCs w:val="28"/>
              </w:rPr>
              <w:t>站区西侧为109国道，站外北侧、东侧、南侧均为空地</w:t>
            </w:r>
            <w:r>
              <w:rPr>
                <w:color w:val="auto"/>
                <w:szCs w:val="28"/>
              </w:rPr>
              <w:t>，</w:t>
            </w:r>
            <w:r>
              <w:rPr>
                <w:color w:val="auto"/>
              </w:rPr>
              <w:t>项目周边示意图见图2-2。</w:t>
            </w:r>
          </w:p>
          <w:p>
            <w:pPr>
              <w:rPr>
                <w:rFonts w:hint="default" w:ascii="Times New Roman" w:hAnsi="Times New Roman" w:eastAsia="黑体" w:cs="Times New Roman"/>
                <w:color w:val="auto"/>
                <w:sz w:val="24"/>
                <w:szCs w:val="32"/>
                <w:lang w:val="en-US" w:eastAsia="zh-CN"/>
              </w:rPr>
            </w:pPr>
            <w:r>
              <w:rPr>
                <w:rFonts w:hint="default" w:ascii="Times New Roman" w:hAnsi="Times New Roman" w:eastAsia="黑体" w:cs="Times New Roman"/>
                <w:color w:val="auto"/>
                <w:sz w:val="24"/>
                <w:szCs w:val="32"/>
                <w:lang w:val="en-US" w:eastAsia="zh-CN"/>
              </w:rPr>
              <w:t>1.</w:t>
            </w:r>
            <w:r>
              <w:rPr>
                <w:rFonts w:hint="eastAsia" w:eastAsia="黑体" w:cs="Times New Roman"/>
                <w:color w:val="auto"/>
                <w:sz w:val="24"/>
                <w:szCs w:val="32"/>
                <w:lang w:val="en-US" w:eastAsia="zh-CN"/>
              </w:rPr>
              <w:t>2</w:t>
            </w:r>
            <w:r>
              <w:rPr>
                <w:rFonts w:hint="default" w:ascii="Times New Roman" w:hAnsi="Times New Roman" w:eastAsia="黑体" w:cs="Times New Roman"/>
                <w:color w:val="auto"/>
                <w:sz w:val="24"/>
                <w:szCs w:val="32"/>
                <w:lang w:val="en-US" w:eastAsia="zh-CN"/>
              </w:rPr>
              <w:t>建设内容与规模</w:t>
            </w:r>
          </w:p>
          <w:p>
            <w:pPr>
              <w:ind w:firstLine="512" w:firstLineChars="200"/>
              <w:rPr>
                <w:rFonts w:hint="eastAsia"/>
                <w:color w:val="auto"/>
              </w:rPr>
            </w:pPr>
            <w:r>
              <w:rPr>
                <w:rFonts w:hint="eastAsia" w:cs="Times New Roman"/>
                <w:color w:val="auto"/>
                <w:sz w:val="24"/>
                <w:szCs w:val="24"/>
                <w:lang w:val="en-US" w:eastAsia="zh-CN"/>
              </w:rPr>
              <w:t>由前文可知，本项目北侧300m存在一座加油加气站，</w:t>
            </w:r>
            <w:r>
              <w:rPr>
                <w:rFonts w:hint="default" w:ascii="Times New Roman" w:hAnsi="Times New Roman" w:eastAsia="宋体" w:cs="Times New Roman"/>
                <w:color w:val="auto"/>
                <w:sz w:val="24"/>
                <w:szCs w:val="24"/>
                <w:lang w:val="en-US" w:eastAsia="zh-CN"/>
              </w:rPr>
              <w:t>同为</w:t>
            </w:r>
            <w:r>
              <w:rPr>
                <w:rFonts w:hint="default" w:ascii="Times New Roman" w:hAnsi="Times New Roman" w:eastAsia="宋体" w:cs="Times New Roman"/>
                <w:color w:val="auto"/>
                <w:sz w:val="24"/>
                <w:szCs w:val="24"/>
              </w:rPr>
              <w:t>宁夏中宁宁新实业有限公司</w:t>
            </w:r>
            <w:r>
              <w:rPr>
                <w:rFonts w:hint="eastAsia" w:cs="Times New Roman"/>
                <w:color w:val="auto"/>
                <w:sz w:val="24"/>
                <w:szCs w:val="24"/>
                <w:lang w:val="en-US" w:eastAsia="zh-CN"/>
              </w:rPr>
              <w:t>建设</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因此建设单位在</w:t>
            </w:r>
            <w:r>
              <w:rPr>
                <w:rFonts w:hint="eastAsia" w:ascii="Times New Roman" w:hAnsi="Times New Roman" w:eastAsia="宋体" w:cs="Times New Roman"/>
                <w:color w:val="auto"/>
                <w:sz w:val="24"/>
                <w:szCs w:val="24"/>
                <w:lang w:val="en-US" w:eastAsia="zh-CN"/>
              </w:rPr>
              <w:t>组织</w:t>
            </w:r>
            <w:r>
              <w:rPr>
                <w:rFonts w:hint="default" w:ascii="Times New Roman" w:hAnsi="Times New Roman" w:eastAsia="宋体" w:cs="Times New Roman"/>
                <w:color w:val="auto"/>
                <w:sz w:val="24"/>
                <w:szCs w:val="24"/>
                <w:lang w:val="en-US" w:eastAsia="zh-CN"/>
              </w:rPr>
              <w:t>备案时</w:t>
            </w:r>
            <w:r>
              <w:rPr>
                <w:rFonts w:hint="eastAsia" w:cs="Times New Roman"/>
                <w:color w:val="auto"/>
                <w:sz w:val="24"/>
                <w:szCs w:val="24"/>
                <w:lang w:val="en-US" w:eastAsia="zh-CN"/>
              </w:rPr>
              <w:t>，以</w:t>
            </w:r>
            <w:r>
              <w:rPr>
                <w:rFonts w:hint="default" w:ascii="Times New Roman" w:hAnsi="Times New Roman" w:eastAsia="宋体" w:cs="Times New Roman"/>
                <w:color w:val="auto"/>
                <w:sz w:val="24"/>
                <w:szCs w:val="24"/>
                <w:lang w:val="en-US" w:eastAsia="zh-CN"/>
              </w:rPr>
              <w:t>按改</w:t>
            </w:r>
            <w:r>
              <w:rPr>
                <w:rFonts w:hint="eastAsia" w:cs="Times New Roman"/>
                <w:color w:val="auto"/>
                <w:sz w:val="24"/>
                <w:szCs w:val="24"/>
                <w:lang w:val="en-US" w:eastAsia="zh-CN"/>
              </w:rPr>
              <w:t>扩</w:t>
            </w:r>
            <w:r>
              <w:rPr>
                <w:rFonts w:hint="default" w:ascii="Times New Roman" w:hAnsi="Times New Roman" w:eastAsia="宋体" w:cs="Times New Roman"/>
                <w:color w:val="auto"/>
                <w:sz w:val="24"/>
                <w:szCs w:val="24"/>
                <w:lang w:val="en-US" w:eastAsia="zh-CN"/>
              </w:rPr>
              <w:t>建进行了备案，</w:t>
            </w:r>
            <w:r>
              <w:rPr>
                <w:rFonts w:hint="eastAsia" w:ascii="Times New Roman" w:hAnsi="Times New Roman" w:eastAsia="宋体" w:cs="Times New Roman"/>
                <w:color w:val="auto"/>
                <w:sz w:val="24"/>
                <w:szCs w:val="24"/>
                <w:lang w:val="en-US" w:eastAsia="zh-CN"/>
              </w:rPr>
              <w:t>由于前后项目之间</w:t>
            </w:r>
            <w:r>
              <w:rPr>
                <w:rFonts w:hint="default" w:ascii="Times New Roman" w:hAnsi="Times New Roman" w:eastAsia="宋体" w:cs="Times New Roman"/>
                <w:color w:val="auto"/>
                <w:sz w:val="24"/>
                <w:szCs w:val="24"/>
                <w:lang w:val="en-US" w:eastAsia="zh-CN"/>
              </w:rPr>
              <w:t>不存在相互影响关系，因此</w:t>
            </w:r>
            <w:r>
              <w:rPr>
                <w:rFonts w:hint="eastAsia" w:ascii="Times New Roman" w:hAnsi="Times New Roman" w:eastAsia="宋体" w:cs="Times New Roman"/>
                <w:color w:val="auto"/>
                <w:sz w:val="24"/>
                <w:szCs w:val="24"/>
                <w:lang w:val="en-US" w:eastAsia="zh-CN"/>
              </w:rPr>
              <w:t>本次</w:t>
            </w:r>
            <w:r>
              <w:rPr>
                <w:rFonts w:hint="default" w:ascii="Times New Roman" w:hAnsi="Times New Roman" w:eastAsia="宋体" w:cs="Times New Roman"/>
                <w:color w:val="auto"/>
                <w:sz w:val="24"/>
                <w:szCs w:val="24"/>
                <w:lang w:val="en-US" w:eastAsia="zh-CN"/>
              </w:rPr>
              <w:t>评价认为项目属于新建项目。</w:t>
            </w:r>
          </w:p>
          <w:p>
            <w:pPr>
              <w:pStyle w:val="43"/>
              <w:ind w:firstLine="514"/>
              <w:rPr>
                <w:rFonts w:hint="eastAsia"/>
                <w:color w:val="auto"/>
                <w:vertAlign w:val="baseline"/>
              </w:rPr>
            </w:pPr>
            <w:r>
              <w:rPr>
                <w:rFonts w:hint="eastAsia"/>
                <w:color w:val="auto"/>
              </w:rPr>
              <w:t>《宁夏中宁宁新实业有限公司新堡加油站改扩建项目》</w:t>
            </w:r>
            <w:r>
              <w:rPr>
                <w:color w:val="auto"/>
              </w:rPr>
              <w:t>计划投资</w:t>
            </w:r>
            <w:r>
              <w:rPr>
                <w:rFonts w:hint="eastAsia"/>
                <w:color w:val="auto"/>
                <w:lang w:val="en-US" w:eastAsia="zh-CN"/>
              </w:rPr>
              <w:t>1600</w:t>
            </w:r>
            <w:r>
              <w:rPr>
                <w:color w:val="auto"/>
              </w:rPr>
              <w:t>万元</w:t>
            </w:r>
            <w:r>
              <w:rPr>
                <w:rFonts w:hint="eastAsia"/>
                <w:color w:val="auto"/>
              </w:rPr>
              <w:t>。项目</w:t>
            </w:r>
            <w:r>
              <w:rPr>
                <w:rFonts w:hint="eastAsia"/>
                <w:color w:val="auto"/>
                <w:lang w:val="en-US" w:eastAsia="zh-CN"/>
              </w:rPr>
              <w:t>主要</w:t>
            </w:r>
            <w:r>
              <w:rPr>
                <w:rFonts w:hint="eastAsia"/>
                <w:color w:val="auto"/>
              </w:rPr>
              <w:t>建设内容</w:t>
            </w:r>
            <w:r>
              <w:rPr>
                <w:rFonts w:hint="eastAsia"/>
                <w:color w:val="auto"/>
                <w:lang w:val="en-US" w:eastAsia="zh-CN"/>
              </w:rPr>
              <w:t>包括</w:t>
            </w:r>
            <w:r>
              <w:rPr>
                <w:rFonts w:hint="eastAsia"/>
                <w:color w:val="auto"/>
              </w:rPr>
              <w:t>：</w:t>
            </w:r>
            <w:r>
              <w:rPr>
                <w:rFonts w:hint="eastAsia"/>
                <w:color w:val="auto"/>
                <w:lang w:val="en-US" w:eastAsia="zh-CN"/>
              </w:rPr>
              <w:t>加油站雨棚800m</w:t>
            </w:r>
            <w:r>
              <w:rPr>
                <w:rFonts w:hint="eastAsia"/>
                <w:color w:val="auto"/>
                <w:vertAlign w:val="superscript"/>
                <w:lang w:val="en-US" w:eastAsia="zh-CN"/>
              </w:rPr>
              <w:t>2</w:t>
            </w:r>
            <w:r>
              <w:rPr>
                <w:rFonts w:hint="eastAsia"/>
                <w:color w:val="auto"/>
                <w:vertAlign w:val="baseline"/>
                <w:lang w:val="en-US" w:eastAsia="zh-CN"/>
              </w:rPr>
              <w:t>，站房600m</w:t>
            </w:r>
            <w:r>
              <w:rPr>
                <w:rFonts w:hint="eastAsia"/>
                <w:color w:val="auto"/>
                <w:vertAlign w:val="superscript"/>
                <w:lang w:val="en-US" w:eastAsia="zh-CN"/>
              </w:rPr>
              <w:t>2</w:t>
            </w:r>
            <w:r>
              <w:rPr>
                <w:rFonts w:hint="eastAsia"/>
                <w:color w:val="auto"/>
                <w:vertAlign w:val="baseline"/>
                <w:lang w:val="en-US" w:eastAsia="zh-CN"/>
              </w:rPr>
              <w:t>、储油罐4个（每个容量为50立方米）、安装双枪加油机7台。本项目</w:t>
            </w:r>
            <w:r>
              <w:rPr>
                <w:rFonts w:hint="default" w:ascii="Times New Roman" w:hAnsi="Times New Roman" w:eastAsia="宋体" w:cs="Times New Roman"/>
                <w:color w:val="auto"/>
              </w:rPr>
              <w:t>设计加油规模为汽油2000t/a、柴油</w:t>
            </w:r>
            <w:r>
              <w:rPr>
                <w:rFonts w:hint="eastAsia" w:cs="Times New Roman"/>
                <w:color w:val="auto"/>
                <w:lang w:val="en-US" w:eastAsia="zh-CN"/>
              </w:rPr>
              <w:t>20</w:t>
            </w:r>
            <w:r>
              <w:rPr>
                <w:rFonts w:hint="default" w:ascii="Times New Roman" w:hAnsi="Times New Roman" w:eastAsia="宋体" w:cs="Times New Roman"/>
                <w:color w:val="auto"/>
              </w:rPr>
              <w:t>00t/a。</w:t>
            </w:r>
          </w:p>
          <w:p>
            <w:pPr>
              <w:jc w:val="left"/>
              <w:rPr>
                <w:rFonts w:eastAsia="黑体"/>
                <w:color w:val="auto"/>
                <w:kern w:val="0"/>
                <w:sz w:val="24"/>
              </w:rPr>
            </w:pPr>
            <w:r>
              <w:rPr>
                <w:rFonts w:eastAsia="黑体"/>
                <w:color w:val="auto"/>
                <w:kern w:val="0"/>
                <w:sz w:val="24"/>
              </w:rPr>
              <w:t>2项目组成</w:t>
            </w:r>
          </w:p>
          <w:p>
            <w:pPr>
              <w:pStyle w:val="43"/>
              <w:ind w:firstLine="514"/>
              <w:jc w:val="left"/>
              <w:rPr>
                <w:color w:val="auto"/>
                <w:szCs w:val="24"/>
              </w:rPr>
            </w:pPr>
            <w:r>
              <w:rPr>
                <w:rFonts w:hint="eastAsia"/>
                <w:color w:val="auto"/>
              </w:rPr>
              <w:t>项目主要建设内容见表2-</w:t>
            </w:r>
            <w:r>
              <w:rPr>
                <w:color w:val="auto"/>
              </w:rPr>
              <w:t>1</w:t>
            </w:r>
            <w:r>
              <w:rPr>
                <w:rFonts w:hint="eastAsia"/>
                <w:color w:val="auto"/>
              </w:rPr>
              <w:t>。</w:t>
            </w:r>
          </w:p>
          <w:p>
            <w:pPr>
              <w:pStyle w:val="32"/>
              <w:rPr>
                <w:rFonts w:ascii="Times New Roman" w:hAnsi="Times New Roman" w:eastAsia="黑体" w:cs="Times New Roman"/>
                <w:color w:val="auto"/>
                <w:sz w:val="24"/>
              </w:rPr>
            </w:pPr>
            <w:r>
              <w:rPr>
                <w:rFonts w:ascii="Times New Roman" w:hAnsi="Times New Roman" w:eastAsia="黑体" w:cs="Times New Roman"/>
                <w:color w:val="auto"/>
                <w:sz w:val="24"/>
              </w:rPr>
              <w:t>表2-1项目建设一览表</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2"/>
              <w:gridCol w:w="676"/>
              <w:gridCol w:w="923"/>
              <w:gridCol w:w="701"/>
              <w:gridCol w:w="54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2" w:type="pct"/>
                  <w:vAlign w:val="center"/>
                </w:tcPr>
                <w:p>
                  <w:pPr>
                    <w:adjustRightInd w:val="0"/>
                    <w:snapToGrid w:val="0"/>
                    <w:jc w:val="center"/>
                    <w:rPr>
                      <w:color w:val="auto"/>
                      <w:szCs w:val="21"/>
                    </w:rPr>
                  </w:pPr>
                  <w:r>
                    <w:rPr>
                      <w:rFonts w:hAnsi="宋体"/>
                      <w:b/>
                      <w:bCs/>
                      <w:color w:val="auto"/>
                      <w:szCs w:val="21"/>
                    </w:rPr>
                    <w:t>类别</w:t>
                  </w:r>
                </w:p>
              </w:tc>
              <w:tc>
                <w:tcPr>
                  <w:tcW w:w="897" w:type="pct"/>
                  <w:gridSpan w:val="2"/>
                  <w:vAlign w:val="center"/>
                </w:tcPr>
                <w:p>
                  <w:pPr>
                    <w:adjustRightInd w:val="0"/>
                    <w:snapToGrid w:val="0"/>
                    <w:jc w:val="center"/>
                    <w:rPr>
                      <w:color w:val="auto"/>
                      <w:szCs w:val="21"/>
                    </w:rPr>
                  </w:pPr>
                  <w:r>
                    <w:rPr>
                      <w:rFonts w:hAnsi="宋体"/>
                      <w:b/>
                      <w:bCs/>
                      <w:color w:val="auto"/>
                      <w:szCs w:val="21"/>
                    </w:rPr>
                    <w:t>项目名称</w:t>
                  </w:r>
                </w:p>
              </w:tc>
              <w:tc>
                <w:tcPr>
                  <w:tcW w:w="3450" w:type="pct"/>
                  <w:gridSpan w:val="2"/>
                  <w:vAlign w:val="center"/>
                </w:tcPr>
                <w:p>
                  <w:pPr>
                    <w:adjustRightInd w:val="0"/>
                    <w:snapToGrid w:val="0"/>
                    <w:jc w:val="center"/>
                    <w:rPr>
                      <w:b/>
                      <w:bCs/>
                      <w:color w:val="auto"/>
                      <w:szCs w:val="21"/>
                    </w:rPr>
                  </w:pPr>
                  <w:r>
                    <w:rPr>
                      <w:rFonts w:hAnsi="宋体"/>
                      <w:b/>
                      <w:bCs/>
                      <w:color w:val="auto"/>
                      <w:szCs w:val="21"/>
                    </w:rPr>
                    <w:t>建设概况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2" w:type="pct"/>
                  <w:vMerge w:val="restart"/>
                  <w:vAlign w:val="center"/>
                </w:tcPr>
                <w:p>
                  <w:pPr>
                    <w:adjustRightInd w:val="0"/>
                    <w:snapToGrid w:val="0"/>
                    <w:jc w:val="center"/>
                    <w:rPr>
                      <w:color w:val="auto"/>
                      <w:szCs w:val="21"/>
                    </w:rPr>
                  </w:pPr>
                  <w:r>
                    <w:rPr>
                      <w:rFonts w:hAnsi="宋体"/>
                      <w:b/>
                      <w:bCs/>
                      <w:color w:val="auto"/>
                      <w:szCs w:val="21"/>
                    </w:rPr>
                    <w:t>主体工程</w:t>
                  </w:r>
                </w:p>
              </w:tc>
              <w:tc>
                <w:tcPr>
                  <w:tcW w:w="897" w:type="pct"/>
                  <w:gridSpan w:val="2"/>
                  <w:vAlign w:val="center"/>
                </w:tcPr>
                <w:p>
                  <w:pPr>
                    <w:adjustRightInd w:val="0"/>
                    <w:snapToGrid w:val="0"/>
                    <w:jc w:val="center"/>
                    <w:rPr>
                      <w:rFonts w:hint="eastAsia" w:eastAsia="宋体"/>
                      <w:color w:val="auto"/>
                      <w:szCs w:val="21"/>
                      <w:lang w:eastAsia="zh-CN"/>
                    </w:rPr>
                  </w:pPr>
                  <w:r>
                    <w:rPr>
                      <w:rFonts w:hint="eastAsia" w:hAnsi="宋体"/>
                      <w:color w:val="auto"/>
                      <w:szCs w:val="21"/>
                      <w:lang w:val="en-US" w:eastAsia="zh-CN"/>
                    </w:rPr>
                    <w:t>储罐区</w:t>
                  </w:r>
                </w:p>
              </w:tc>
              <w:tc>
                <w:tcPr>
                  <w:tcW w:w="3450" w:type="pct"/>
                  <w:gridSpan w:val="2"/>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textAlignment w:val="auto"/>
                    <w:rPr>
                      <w:color w:val="auto"/>
                      <w:szCs w:val="21"/>
                    </w:rPr>
                  </w:pPr>
                  <w:r>
                    <w:rPr>
                      <w:rFonts w:hint="eastAsia"/>
                      <w:color w:val="auto"/>
                      <w:szCs w:val="21"/>
                    </w:rPr>
                    <w:t>地埋卧式</w:t>
                  </w:r>
                  <w:r>
                    <w:rPr>
                      <w:rFonts w:hint="eastAsia"/>
                      <w:color w:val="auto"/>
                      <w:szCs w:val="21"/>
                      <w:lang w:val="en-US" w:eastAsia="zh-CN"/>
                    </w:rPr>
                    <w:t>SF</w:t>
                  </w:r>
                  <w:r>
                    <w:rPr>
                      <w:rFonts w:hint="eastAsia"/>
                      <w:color w:val="auto"/>
                      <w:szCs w:val="21"/>
                    </w:rPr>
                    <w:t>双层钢制汽油储罐</w:t>
                  </w:r>
                  <w:r>
                    <w:rPr>
                      <w:rFonts w:hint="eastAsia"/>
                      <w:color w:val="auto"/>
                      <w:szCs w:val="21"/>
                      <w:lang w:val="en-US" w:eastAsia="zh-CN"/>
                    </w:rPr>
                    <w:t>2个</w:t>
                  </w:r>
                  <w:r>
                    <w:rPr>
                      <w:rFonts w:hint="eastAsia"/>
                      <w:color w:val="auto"/>
                      <w:szCs w:val="21"/>
                    </w:rPr>
                    <w:t>，容积各为</w:t>
                  </w:r>
                  <w:r>
                    <w:rPr>
                      <w:rFonts w:hint="eastAsia"/>
                      <w:color w:val="auto"/>
                      <w:szCs w:val="21"/>
                      <w:lang w:val="en-US" w:eastAsia="zh-CN"/>
                    </w:rPr>
                    <w:t>5</w:t>
                  </w:r>
                  <w:r>
                    <w:rPr>
                      <w:rFonts w:hint="eastAsia"/>
                      <w:color w:val="auto"/>
                      <w:szCs w:val="21"/>
                    </w:rPr>
                    <w:t>0m</w:t>
                  </w:r>
                  <w:r>
                    <w:rPr>
                      <w:rFonts w:hint="eastAsia"/>
                      <w:color w:val="auto"/>
                      <w:szCs w:val="21"/>
                      <w:vertAlign w:val="superscript"/>
                    </w:rPr>
                    <w:t>3</w:t>
                  </w:r>
                  <w:r>
                    <w:rPr>
                      <w:rFonts w:hint="eastAsia"/>
                      <w:color w:val="auto"/>
                      <w:szCs w:val="21"/>
                    </w:rPr>
                    <w:t>；地埋卧式</w:t>
                  </w:r>
                  <w:r>
                    <w:rPr>
                      <w:rFonts w:hint="eastAsia"/>
                      <w:color w:val="auto"/>
                      <w:szCs w:val="21"/>
                      <w:lang w:val="en-US" w:eastAsia="zh-CN"/>
                    </w:rPr>
                    <w:t>SF</w:t>
                  </w:r>
                  <w:r>
                    <w:rPr>
                      <w:rFonts w:hint="eastAsia"/>
                      <w:color w:val="auto"/>
                      <w:szCs w:val="21"/>
                    </w:rPr>
                    <w:t>双层钢制柴油储罐</w:t>
                  </w:r>
                  <w:r>
                    <w:rPr>
                      <w:rFonts w:hint="eastAsia"/>
                      <w:color w:val="auto"/>
                      <w:szCs w:val="21"/>
                      <w:lang w:val="en-US" w:eastAsia="zh-CN"/>
                    </w:rPr>
                    <w:t>2个</w:t>
                  </w:r>
                  <w:r>
                    <w:rPr>
                      <w:rFonts w:hint="eastAsia"/>
                      <w:color w:val="auto"/>
                      <w:szCs w:val="21"/>
                    </w:rPr>
                    <w:t>，容积各为</w:t>
                  </w:r>
                  <w:r>
                    <w:rPr>
                      <w:rFonts w:hint="eastAsia"/>
                      <w:color w:val="auto"/>
                      <w:szCs w:val="21"/>
                      <w:lang w:val="en-US" w:eastAsia="zh-CN"/>
                    </w:rPr>
                    <w:t>5</w:t>
                  </w:r>
                  <w:r>
                    <w:rPr>
                      <w:rFonts w:hint="eastAsia"/>
                      <w:color w:val="auto"/>
                      <w:szCs w:val="21"/>
                    </w:rPr>
                    <w:t>0m</w:t>
                  </w:r>
                  <w:r>
                    <w:rPr>
                      <w:rFonts w:hint="eastAsia"/>
                      <w:color w:val="auto"/>
                      <w:szCs w:val="21"/>
                      <w:vertAlign w:val="superscript"/>
                    </w:rPr>
                    <w:t>3</w:t>
                  </w:r>
                  <w:r>
                    <w:rPr>
                      <w:rFonts w:hint="eastAsia"/>
                      <w:color w:val="auto"/>
                      <w:szCs w:val="21"/>
                    </w:rPr>
                    <w:t>；各储罐均设置1根4</w:t>
                  </w:r>
                  <w:r>
                    <w:rPr>
                      <w:rFonts w:hint="eastAsia"/>
                      <w:color w:val="auto"/>
                      <w:szCs w:val="21"/>
                      <w:lang w:val="en-US" w:eastAsia="zh-CN"/>
                    </w:rPr>
                    <w:t>.5</w:t>
                  </w:r>
                  <w:r>
                    <w:rPr>
                      <w:rFonts w:hint="eastAsia"/>
                      <w:color w:val="auto"/>
                      <w:szCs w:val="21"/>
                    </w:rPr>
                    <w:t>m通气管道、控制阀门等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2" w:type="pct"/>
                  <w:vMerge w:val="continue"/>
                  <w:vAlign w:val="center"/>
                </w:tcPr>
                <w:p>
                  <w:pPr>
                    <w:adjustRightInd w:val="0"/>
                    <w:snapToGrid w:val="0"/>
                    <w:jc w:val="center"/>
                    <w:rPr>
                      <w:color w:val="auto"/>
                      <w:szCs w:val="21"/>
                    </w:rPr>
                  </w:pPr>
                </w:p>
              </w:tc>
              <w:tc>
                <w:tcPr>
                  <w:tcW w:w="897" w:type="pct"/>
                  <w:gridSpan w:val="2"/>
                  <w:vAlign w:val="center"/>
                </w:tcPr>
                <w:p>
                  <w:pPr>
                    <w:adjustRightInd w:val="0"/>
                    <w:snapToGrid w:val="0"/>
                    <w:jc w:val="center"/>
                    <w:rPr>
                      <w:rFonts w:hint="eastAsia" w:eastAsia="宋体"/>
                      <w:color w:val="auto"/>
                      <w:lang w:eastAsia="zh-CN"/>
                    </w:rPr>
                  </w:pPr>
                  <w:r>
                    <w:rPr>
                      <w:rFonts w:hint="eastAsia"/>
                      <w:color w:val="auto"/>
                      <w:lang w:val="en-US" w:eastAsia="zh-CN"/>
                    </w:rPr>
                    <w:t>加油区</w:t>
                  </w:r>
                </w:p>
              </w:tc>
              <w:tc>
                <w:tcPr>
                  <w:tcW w:w="3450" w:type="pct"/>
                  <w:gridSpan w:val="2"/>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jc w:val="left"/>
                    <w:textAlignment w:val="auto"/>
                    <w:rPr>
                      <w:rFonts w:hAnsi="宋体"/>
                      <w:color w:val="auto"/>
                      <w:szCs w:val="21"/>
                    </w:rPr>
                  </w:pPr>
                  <w:r>
                    <w:rPr>
                      <w:rFonts w:hint="eastAsia" w:hAnsi="宋体"/>
                      <w:color w:val="auto"/>
                      <w:szCs w:val="21"/>
                    </w:rPr>
                    <w:t>钢网架结构，建筑面积</w:t>
                  </w:r>
                  <w:r>
                    <w:rPr>
                      <w:rFonts w:hint="eastAsia" w:hAnsi="宋体"/>
                      <w:color w:val="auto"/>
                      <w:szCs w:val="21"/>
                      <w:lang w:val="en-US" w:eastAsia="zh-CN"/>
                    </w:rPr>
                    <w:t>800</w:t>
                  </w:r>
                  <w:r>
                    <w:rPr>
                      <w:rFonts w:hint="eastAsia" w:hAnsi="宋体"/>
                      <w:color w:val="auto"/>
                      <w:szCs w:val="21"/>
                    </w:rPr>
                    <w:t>m</w:t>
                  </w:r>
                  <w:r>
                    <w:rPr>
                      <w:rFonts w:hint="eastAsia" w:hAnsi="宋体"/>
                      <w:color w:val="auto"/>
                      <w:szCs w:val="21"/>
                      <w:vertAlign w:val="superscript"/>
                    </w:rPr>
                    <w:t>2</w:t>
                  </w:r>
                  <w:r>
                    <w:rPr>
                      <w:rFonts w:hint="eastAsia" w:hAnsi="宋体"/>
                      <w:color w:val="auto"/>
                      <w:szCs w:val="21"/>
                    </w:rPr>
                    <w:t>，设</w:t>
                  </w:r>
                  <w:r>
                    <w:rPr>
                      <w:rFonts w:hint="eastAsia" w:hAnsi="宋体"/>
                      <w:color w:val="auto"/>
                      <w:szCs w:val="21"/>
                      <w:lang w:val="en-US" w:eastAsia="zh-CN"/>
                    </w:rPr>
                    <w:t>双</w:t>
                  </w:r>
                  <w:r>
                    <w:rPr>
                      <w:rFonts w:hint="eastAsia" w:hAnsi="宋体"/>
                      <w:color w:val="auto"/>
                      <w:szCs w:val="21"/>
                    </w:rPr>
                    <w:t>枪汽油加油机</w:t>
                  </w:r>
                  <w:r>
                    <w:rPr>
                      <w:rFonts w:hint="eastAsia" w:hAnsi="宋体"/>
                      <w:color w:val="auto"/>
                      <w:szCs w:val="21"/>
                      <w:lang w:val="en-US" w:eastAsia="zh-CN"/>
                    </w:rPr>
                    <w:t>5</w:t>
                  </w:r>
                  <w:r>
                    <w:rPr>
                      <w:rFonts w:hint="eastAsia" w:hAnsi="宋体"/>
                      <w:color w:val="auto"/>
                      <w:szCs w:val="21"/>
                    </w:rPr>
                    <w:t>台，</w:t>
                  </w:r>
                  <w:r>
                    <w:rPr>
                      <w:rFonts w:hint="eastAsia" w:hAnsi="宋体"/>
                      <w:color w:val="auto"/>
                      <w:szCs w:val="21"/>
                      <w:lang w:val="en-US" w:eastAsia="zh-CN"/>
                    </w:rPr>
                    <w:t>双</w:t>
                  </w:r>
                  <w:r>
                    <w:rPr>
                      <w:rFonts w:hint="eastAsia" w:hAnsi="宋体"/>
                      <w:color w:val="auto"/>
                      <w:szCs w:val="21"/>
                    </w:rPr>
                    <w:t>枪柴油加油机</w:t>
                  </w:r>
                  <w:r>
                    <w:rPr>
                      <w:rFonts w:hint="eastAsia" w:hAnsi="宋体"/>
                      <w:color w:val="auto"/>
                      <w:szCs w:val="21"/>
                      <w:lang w:val="en-US" w:eastAsia="zh-CN"/>
                    </w:rPr>
                    <w:t>2</w:t>
                  </w:r>
                  <w:r>
                    <w:rPr>
                      <w:rFonts w:hint="eastAsia" w:hAnsi="宋体"/>
                      <w:color w:val="auto"/>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2" w:type="pct"/>
                  <w:vMerge w:val="restart"/>
                  <w:vAlign w:val="center"/>
                </w:tcPr>
                <w:p>
                  <w:pPr>
                    <w:adjustRightInd w:val="0"/>
                    <w:snapToGrid w:val="0"/>
                    <w:jc w:val="center"/>
                    <w:rPr>
                      <w:b/>
                      <w:bCs/>
                      <w:color w:val="auto"/>
                      <w:szCs w:val="21"/>
                    </w:rPr>
                  </w:pPr>
                  <w:r>
                    <w:rPr>
                      <w:rFonts w:hAnsi="宋体"/>
                      <w:b/>
                      <w:bCs/>
                      <w:color w:val="auto"/>
                      <w:szCs w:val="21"/>
                    </w:rPr>
                    <w:t>辅助工程</w:t>
                  </w:r>
                </w:p>
              </w:tc>
              <w:tc>
                <w:tcPr>
                  <w:tcW w:w="897" w:type="pct"/>
                  <w:gridSpan w:val="2"/>
                  <w:vAlign w:val="center"/>
                </w:tcPr>
                <w:p>
                  <w:pPr>
                    <w:adjustRightInd w:val="0"/>
                    <w:snapToGrid w:val="0"/>
                    <w:jc w:val="center"/>
                    <w:rPr>
                      <w:rFonts w:hint="eastAsia" w:eastAsia="宋体"/>
                      <w:color w:val="auto"/>
                      <w:szCs w:val="21"/>
                      <w:lang w:eastAsia="zh-CN"/>
                    </w:rPr>
                  </w:pPr>
                  <w:r>
                    <w:rPr>
                      <w:rFonts w:hint="eastAsia"/>
                      <w:color w:val="auto"/>
                      <w:szCs w:val="21"/>
                      <w:lang w:val="en-US" w:eastAsia="zh-CN"/>
                    </w:rPr>
                    <w:t>站房</w:t>
                  </w:r>
                </w:p>
              </w:tc>
              <w:tc>
                <w:tcPr>
                  <w:tcW w:w="3450" w:type="pct"/>
                  <w:gridSpan w:val="2"/>
                  <w:vAlign w:val="center"/>
                </w:tcPr>
                <w:p>
                  <w:pPr>
                    <w:adjustRightInd w:val="0"/>
                    <w:snapToGrid w:val="0"/>
                    <w:ind w:firstLine="452" w:firstLineChars="200"/>
                    <w:jc w:val="left"/>
                    <w:rPr>
                      <w:color w:val="auto"/>
                      <w:szCs w:val="21"/>
                    </w:rPr>
                  </w:pPr>
                  <w:r>
                    <w:rPr>
                      <w:rFonts w:hint="eastAsia"/>
                      <w:color w:val="auto"/>
                      <w:szCs w:val="21"/>
                    </w:rPr>
                    <w:t>建筑面积</w:t>
                  </w:r>
                  <w:r>
                    <w:rPr>
                      <w:rFonts w:hint="eastAsia"/>
                      <w:color w:val="auto"/>
                      <w:szCs w:val="21"/>
                      <w:lang w:val="en-US" w:eastAsia="zh-CN"/>
                    </w:rPr>
                    <w:t>600</w:t>
                  </w:r>
                  <w:r>
                    <w:rPr>
                      <w:rFonts w:hint="eastAsia"/>
                      <w:color w:val="auto"/>
                      <w:szCs w:val="21"/>
                    </w:rPr>
                    <w:t>m</w:t>
                  </w:r>
                  <w:r>
                    <w:rPr>
                      <w:rFonts w:hint="eastAsia"/>
                      <w:color w:val="auto"/>
                      <w:szCs w:val="21"/>
                      <w:vertAlign w:val="superscript"/>
                    </w:rPr>
                    <w:t>2</w:t>
                  </w:r>
                  <w:r>
                    <w:rPr>
                      <w:rFonts w:hint="eastAsia"/>
                      <w:color w:val="auto"/>
                      <w:szCs w:val="21"/>
                    </w:rPr>
                    <w:t>，</w:t>
                  </w:r>
                  <w:r>
                    <w:rPr>
                      <w:rFonts w:hint="eastAsia"/>
                      <w:color w:val="auto"/>
                      <w:szCs w:val="21"/>
                      <w:lang w:val="en-US" w:eastAsia="zh-CN"/>
                    </w:rPr>
                    <w:t>一</w:t>
                  </w:r>
                  <w:r>
                    <w:rPr>
                      <w:rFonts w:hint="eastAsia"/>
                      <w:color w:val="auto"/>
                      <w:szCs w:val="21"/>
                    </w:rPr>
                    <w:t>层，砖混结构，包括</w:t>
                  </w:r>
                  <w:r>
                    <w:rPr>
                      <w:rFonts w:hint="eastAsia"/>
                      <w:color w:val="auto"/>
                      <w:szCs w:val="21"/>
                      <w:lang w:val="en-US" w:eastAsia="zh-CN"/>
                    </w:rPr>
                    <w:t>便利店</w:t>
                  </w:r>
                  <w:r>
                    <w:rPr>
                      <w:rFonts w:hint="eastAsia"/>
                      <w:color w:val="auto"/>
                      <w:szCs w:val="21"/>
                    </w:rPr>
                    <w:t>、</w:t>
                  </w:r>
                  <w:r>
                    <w:rPr>
                      <w:rFonts w:hint="eastAsia"/>
                      <w:color w:val="auto"/>
                      <w:szCs w:val="21"/>
                      <w:lang w:val="en-US" w:eastAsia="zh-CN"/>
                    </w:rPr>
                    <w:t>设备间</w:t>
                  </w:r>
                  <w:r>
                    <w:rPr>
                      <w:rFonts w:hint="eastAsia"/>
                      <w:color w:val="auto"/>
                      <w:szCs w:val="21"/>
                    </w:rPr>
                    <w:t>、</w:t>
                  </w:r>
                  <w:r>
                    <w:rPr>
                      <w:rFonts w:hint="eastAsia"/>
                      <w:color w:val="auto"/>
                      <w:szCs w:val="21"/>
                      <w:lang w:val="en-US" w:eastAsia="zh-CN"/>
                    </w:rPr>
                    <w:t>控制室</w:t>
                  </w:r>
                  <w:r>
                    <w:rPr>
                      <w:rFonts w:hint="eastAsia"/>
                      <w:color w:val="auto"/>
                      <w:szCs w:val="21"/>
                    </w:rPr>
                    <w:t>、</w:t>
                  </w:r>
                  <w:r>
                    <w:rPr>
                      <w:rFonts w:hint="eastAsia"/>
                      <w:color w:val="auto"/>
                      <w:szCs w:val="21"/>
                      <w:lang w:val="en-US" w:eastAsia="zh-CN"/>
                    </w:rPr>
                    <w:t>值班室</w:t>
                  </w:r>
                  <w:r>
                    <w:rPr>
                      <w:rFonts w:hint="eastAsia"/>
                      <w:color w:val="auto"/>
                      <w:szCs w:val="21"/>
                    </w:rPr>
                    <w:t>、</w:t>
                  </w:r>
                  <w:r>
                    <w:rPr>
                      <w:rFonts w:hint="eastAsia"/>
                      <w:color w:val="auto"/>
                      <w:szCs w:val="21"/>
                      <w:lang w:val="en-US" w:eastAsia="zh-CN"/>
                    </w:rPr>
                    <w:t>办公室</w:t>
                  </w:r>
                  <w:r>
                    <w:rPr>
                      <w:rFonts w:hint="eastAsia"/>
                      <w:color w:val="auto"/>
                      <w:szCs w:val="21"/>
                    </w:rPr>
                    <w:t>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2" w:type="pct"/>
                  <w:vMerge w:val="continue"/>
                  <w:vAlign w:val="center"/>
                </w:tcPr>
                <w:p>
                  <w:pPr>
                    <w:adjustRightInd w:val="0"/>
                    <w:snapToGrid w:val="0"/>
                    <w:jc w:val="center"/>
                    <w:rPr>
                      <w:rFonts w:hAnsi="宋体"/>
                      <w:b/>
                      <w:bCs/>
                      <w:color w:val="auto"/>
                      <w:szCs w:val="21"/>
                    </w:rPr>
                  </w:pPr>
                </w:p>
              </w:tc>
              <w:tc>
                <w:tcPr>
                  <w:tcW w:w="897" w:type="pct"/>
                  <w:gridSpan w:val="2"/>
                  <w:vAlign w:val="center"/>
                </w:tcPr>
                <w:p>
                  <w:pPr>
                    <w:adjustRightInd w:val="0"/>
                    <w:snapToGrid w:val="0"/>
                    <w:jc w:val="center"/>
                    <w:rPr>
                      <w:color w:val="auto"/>
                      <w:szCs w:val="21"/>
                    </w:rPr>
                  </w:pPr>
                  <w:r>
                    <w:rPr>
                      <w:rFonts w:hint="eastAsia"/>
                      <w:color w:val="auto"/>
                      <w:szCs w:val="21"/>
                    </w:rPr>
                    <w:t>站区道路</w:t>
                  </w:r>
                </w:p>
              </w:tc>
              <w:tc>
                <w:tcPr>
                  <w:tcW w:w="3450" w:type="pct"/>
                  <w:gridSpan w:val="2"/>
                  <w:vAlign w:val="center"/>
                </w:tcPr>
                <w:p>
                  <w:pPr>
                    <w:adjustRightInd w:val="0"/>
                    <w:snapToGrid w:val="0"/>
                    <w:jc w:val="center"/>
                    <w:rPr>
                      <w:color w:val="auto"/>
                      <w:szCs w:val="21"/>
                    </w:rPr>
                  </w:pPr>
                  <w:r>
                    <w:rPr>
                      <w:rFonts w:hint="eastAsia"/>
                      <w:color w:val="auto"/>
                      <w:szCs w:val="21"/>
                    </w:rPr>
                    <w:t>混凝土结构，环绕、保持畅通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2" w:type="pct"/>
                  <w:vMerge w:val="restart"/>
                  <w:vAlign w:val="center"/>
                </w:tcPr>
                <w:p>
                  <w:pPr>
                    <w:adjustRightInd w:val="0"/>
                    <w:snapToGrid w:val="0"/>
                    <w:jc w:val="center"/>
                    <w:rPr>
                      <w:b/>
                      <w:bCs/>
                      <w:color w:val="auto"/>
                      <w:szCs w:val="21"/>
                    </w:rPr>
                  </w:pPr>
                  <w:r>
                    <w:rPr>
                      <w:rFonts w:hAnsi="宋体"/>
                      <w:b/>
                      <w:bCs/>
                      <w:color w:val="auto"/>
                      <w:szCs w:val="21"/>
                    </w:rPr>
                    <w:t>公用工程</w:t>
                  </w:r>
                </w:p>
              </w:tc>
              <w:tc>
                <w:tcPr>
                  <w:tcW w:w="897" w:type="pct"/>
                  <w:gridSpan w:val="2"/>
                  <w:vAlign w:val="center"/>
                </w:tcPr>
                <w:p>
                  <w:pPr>
                    <w:adjustRightInd w:val="0"/>
                    <w:snapToGrid w:val="0"/>
                    <w:jc w:val="center"/>
                    <w:rPr>
                      <w:color w:val="auto"/>
                      <w:szCs w:val="21"/>
                    </w:rPr>
                  </w:pPr>
                  <w:r>
                    <w:rPr>
                      <w:rFonts w:hAnsi="宋体"/>
                      <w:color w:val="auto"/>
                      <w:szCs w:val="21"/>
                    </w:rPr>
                    <w:t>给水</w:t>
                  </w:r>
                </w:p>
              </w:tc>
              <w:tc>
                <w:tcPr>
                  <w:tcW w:w="3450" w:type="pct"/>
                  <w:gridSpan w:val="2"/>
                  <w:vAlign w:val="center"/>
                </w:tcPr>
                <w:p>
                  <w:pPr>
                    <w:adjustRightInd w:val="0"/>
                    <w:snapToGrid w:val="0"/>
                    <w:ind w:firstLine="452" w:firstLineChars="200"/>
                    <w:jc w:val="left"/>
                    <w:rPr>
                      <w:color w:val="auto"/>
                      <w:szCs w:val="21"/>
                    </w:rPr>
                  </w:pPr>
                  <w:r>
                    <w:rPr>
                      <w:rFonts w:hint="eastAsia"/>
                      <w:color w:val="auto"/>
                      <w:szCs w:val="21"/>
                    </w:rPr>
                    <w:t>项目用水主要为职工及顾客生活用水及绿化用水，由市政给水管网提供自来水，用水量812.55m³/a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2" w:type="pct"/>
                  <w:vMerge w:val="continue"/>
                  <w:vAlign w:val="center"/>
                </w:tcPr>
                <w:p>
                  <w:pPr>
                    <w:adjustRightInd w:val="0"/>
                    <w:snapToGrid w:val="0"/>
                    <w:jc w:val="center"/>
                    <w:rPr>
                      <w:b/>
                      <w:bCs/>
                      <w:color w:val="auto"/>
                      <w:szCs w:val="21"/>
                    </w:rPr>
                  </w:pPr>
                </w:p>
              </w:tc>
              <w:tc>
                <w:tcPr>
                  <w:tcW w:w="897" w:type="pct"/>
                  <w:gridSpan w:val="2"/>
                  <w:vAlign w:val="center"/>
                </w:tcPr>
                <w:p>
                  <w:pPr>
                    <w:adjustRightInd w:val="0"/>
                    <w:snapToGrid w:val="0"/>
                    <w:jc w:val="center"/>
                    <w:rPr>
                      <w:color w:val="auto"/>
                      <w:szCs w:val="21"/>
                    </w:rPr>
                  </w:pPr>
                  <w:r>
                    <w:rPr>
                      <w:rFonts w:hAnsi="宋体"/>
                      <w:color w:val="auto"/>
                      <w:szCs w:val="21"/>
                    </w:rPr>
                    <w:t>排水</w:t>
                  </w:r>
                </w:p>
              </w:tc>
              <w:tc>
                <w:tcPr>
                  <w:tcW w:w="3450" w:type="pct"/>
                  <w:gridSpan w:val="2"/>
                  <w:vAlign w:val="center"/>
                </w:tcPr>
                <w:p>
                  <w:pPr>
                    <w:adjustRightInd w:val="0"/>
                    <w:snapToGrid w:val="0"/>
                    <w:ind w:firstLine="452" w:firstLineChars="200"/>
                    <w:jc w:val="left"/>
                    <w:rPr>
                      <w:rFonts w:hint="default" w:eastAsia="宋体"/>
                      <w:color w:val="auto"/>
                      <w:szCs w:val="21"/>
                      <w:lang w:val="en-US" w:eastAsia="zh-CN"/>
                    </w:rPr>
                  </w:pPr>
                  <w:r>
                    <w:rPr>
                      <w:rFonts w:hint="eastAsia"/>
                      <w:color w:val="auto"/>
                      <w:szCs w:val="21"/>
                    </w:rPr>
                    <w:t>本项目废水主要为生活污水，排放量508.08m³/a，</w:t>
                  </w:r>
                  <w:r>
                    <w:rPr>
                      <w:rFonts w:hint="eastAsia"/>
                      <w:color w:val="auto"/>
                      <w:lang w:eastAsia="zh-CN"/>
                    </w:rPr>
                    <w:t>经</w:t>
                  </w:r>
                  <w:r>
                    <w:rPr>
                      <w:rFonts w:hint="eastAsia"/>
                      <w:color w:val="auto"/>
                      <w:szCs w:val="21"/>
                    </w:rPr>
                    <w:t>化粪池（</w:t>
                  </w:r>
                  <w:r>
                    <w:rPr>
                      <w:rFonts w:hint="eastAsia"/>
                      <w:color w:val="auto"/>
                      <w:szCs w:val="21"/>
                      <w:lang w:val="en-US" w:eastAsia="zh-CN"/>
                    </w:rPr>
                    <w:t>10</w:t>
                  </w:r>
                  <w:r>
                    <w:rPr>
                      <w:rFonts w:hint="eastAsia"/>
                      <w:color w:val="auto"/>
                      <w:szCs w:val="21"/>
                    </w:rPr>
                    <w:t>m³）</w:t>
                  </w:r>
                  <w:r>
                    <w:rPr>
                      <w:rFonts w:hint="eastAsia"/>
                      <w:color w:val="auto"/>
                      <w:lang w:eastAsia="zh-CN"/>
                    </w:rPr>
                    <w:t>处理后，</w:t>
                  </w:r>
                  <w:r>
                    <w:rPr>
                      <w:rFonts w:hint="eastAsia"/>
                      <w:color w:val="auto"/>
                      <w:szCs w:val="21"/>
                    </w:rPr>
                    <w:t>通过市政污水管网排入中宁县第三污水处理厂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2" w:type="pct"/>
                  <w:vMerge w:val="continue"/>
                  <w:vAlign w:val="center"/>
                </w:tcPr>
                <w:p>
                  <w:pPr>
                    <w:adjustRightInd w:val="0"/>
                    <w:snapToGrid w:val="0"/>
                    <w:jc w:val="center"/>
                    <w:rPr>
                      <w:b/>
                      <w:bCs/>
                      <w:color w:val="auto"/>
                      <w:szCs w:val="21"/>
                    </w:rPr>
                  </w:pPr>
                </w:p>
              </w:tc>
              <w:tc>
                <w:tcPr>
                  <w:tcW w:w="897" w:type="pct"/>
                  <w:gridSpan w:val="2"/>
                  <w:vAlign w:val="center"/>
                </w:tcPr>
                <w:p>
                  <w:pPr>
                    <w:adjustRightInd w:val="0"/>
                    <w:snapToGrid w:val="0"/>
                    <w:jc w:val="center"/>
                    <w:rPr>
                      <w:color w:val="auto"/>
                      <w:szCs w:val="21"/>
                    </w:rPr>
                  </w:pPr>
                  <w:r>
                    <w:rPr>
                      <w:rFonts w:hAnsi="宋体"/>
                      <w:color w:val="auto"/>
                      <w:szCs w:val="21"/>
                    </w:rPr>
                    <w:t>供电</w:t>
                  </w:r>
                </w:p>
              </w:tc>
              <w:tc>
                <w:tcPr>
                  <w:tcW w:w="3450" w:type="pct"/>
                  <w:gridSpan w:val="2"/>
                  <w:vAlign w:val="center"/>
                </w:tcPr>
                <w:p>
                  <w:pPr>
                    <w:adjustRightInd w:val="0"/>
                    <w:snapToGrid w:val="0"/>
                    <w:jc w:val="center"/>
                    <w:rPr>
                      <w:color w:val="auto"/>
                      <w:szCs w:val="21"/>
                    </w:rPr>
                  </w:pPr>
                  <w:r>
                    <w:rPr>
                      <w:rFonts w:hint="eastAsia"/>
                      <w:color w:val="auto"/>
                      <w:szCs w:val="21"/>
                    </w:rPr>
                    <w:t>由市政电网提供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2" w:type="pct"/>
                  <w:vMerge w:val="continue"/>
                  <w:vAlign w:val="center"/>
                </w:tcPr>
                <w:p>
                  <w:pPr>
                    <w:adjustRightInd w:val="0"/>
                    <w:snapToGrid w:val="0"/>
                    <w:jc w:val="center"/>
                    <w:rPr>
                      <w:b/>
                      <w:bCs/>
                      <w:color w:val="auto"/>
                      <w:szCs w:val="21"/>
                    </w:rPr>
                  </w:pPr>
                </w:p>
              </w:tc>
              <w:tc>
                <w:tcPr>
                  <w:tcW w:w="897" w:type="pct"/>
                  <w:gridSpan w:val="2"/>
                  <w:vAlign w:val="center"/>
                </w:tcPr>
                <w:p>
                  <w:pPr>
                    <w:adjustRightInd w:val="0"/>
                    <w:snapToGrid w:val="0"/>
                    <w:jc w:val="center"/>
                    <w:rPr>
                      <w:rFonts w:hint="eastAsia" w:eastAsia="宋体"/>
                      <w:color w:val="auto"/>
                      <w:szCs w:val="21"/>
                      <w:lang w:eastAsia="zh-CN"/>
                    </w:rPr>
                  </w:pPr>
                  <w:r>
                    <w:rPr>
                      <w:rFonts w:hAnsi="宋体"/>
                      <w:color w:val="auto"/>
                      <w:szCs w:val="21"/>
                    </w:rPr>
                    <w:t>供</w:t>
                  </w:r>
                  <w:r>
                    <w:rPr>
                      <w:rFonts w:hint="eastAsia" w:hAnsi="宋体"/>
                      <w:color w:val="auto"/>
                      <w:szCs w:val="21"/>
                      <w:lang w:val="en-US" w:eastAsia="zh-CN"/>
                    </w:rPr>
                    <w:t>热</w:t>
                  </w:r>
                </w:p>
              </w:tc>
              <w:tc>
                <w:tcPr>
                  <w:tcW w:w="3450" w:type="pct"/>
                  <w:gridSpan w:val="2"/>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jc w:val="left"/>
                    <w:textAlignment w:val="auto"/>
                    <w:rPr>
                      <w:color w:val="auto"/>
                      <w:szCs w:val="21"/>
                    </w:rPr>
                  </w:pPr>
                  <w:r>
                    <w:rPr>
                      <w:rFonts w:hint="eastAsia"/>
                      <w:color w:val="auto"/>
                    </w:rPr>
                    <w:t>项目站房采用分体式空调冬季供暖，夏季制冷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652" w:type="pct"/>
                  <w:vMerge w:val="continue"/>
                  <w:vAlign w:val="center"/>
                </w:tcPr>
                <w:p>
                  <w:pPr>
                    <w:adjustRightInd w:val="0"/>
                    <w:snapToGrid w:val="0"/>
                    <w:jc w:val="center"/>
                    <w:rPr>
                      <w:b/>
                      <w:bCs/>
                      <w:color w:val="auto"/>
                      <w:szCs w:val="21"/>
                    </w:rPr>
                  </w:pPr>
                </w:p>
              </w:tc>
              <w:tc>
                <w:tcPr>
                  <w:tcW w:w="897" w:type="pct"/>
                  <w:gridSpan w:val="2"/>
                  <w:vAlign w:val="center"/>
                </w:tcPr>
                <w:p>
                  <w:pPr>
                    <w:adjustRightInd w:val="0"/>
                    <w:snapToGrid w:val="0"/>
                    <w:jc w:val="center"/>
                    <w:rPr>
                      <w:rFonts w:hint="eastAsia" w:hAnsi="宋体" w:eastAsia="宋体"/>
                      <w:color w:val="auto"/>
                      <w:szCs w:val="21"/>
                      <w:lang w:val="en-US" w:eastAsia="zh-CN"/>
                    </w:rPr>
                  </w:pPr>
                  <w:r>
                    <w:rPr>
                      <w:rFonts w:hint="eastAsia" w:hAnsi="宋体"/>
                      <w:color w:val="auto"/>
                      <w:szCs w:val="21"/>
                      <w:lang w:val="en-US" w:eastAsia="zh-CN"/>
                    </w:rPr>
                    <w:t>消防、防雷、防静电</w:t>
                  </w:r>
                </w:p>
              </w:tc>
              <w:tc>
                <w:tcPr>
                  <w:tcW w:w="3450" w:type="pct"/>
                  <w:gridSpan w:val="2"/>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jc w:val="left"/>
                    <w:textAlignment w:val="auto"/>
                    <w:rPr>
                      <w:rFonts w:hint="eastAsia"/>
                      <w:color w:val="auto"/>
                    </w:rPr>
                  </w:pPr>
                  <w:r>
                    <w:rPr>
                      <w:rFonts w:hint="eastAsia"/>
                      <w:color w:val="auto"/>
                    </w:rPr>
                    <w:t>本项目站区内设置消防（灭火器、消防栓）、防雷、防静电设施和器材，按消防、防雷主管部门及相应规范配备，并按规定定期检查和更换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652" w:type="pct"/>
                  <w:vMerge w:val="restart"/>
                  <w:vAlign w:val="center"/>
                </w:tcPr>
                <w:p>
                  <w:pPr>
                    <w:adjustRightInd w:val="0"/>
                    <w:snapToGrid w:val="0"/>
                    <w:jc w:val="center"/>
                    <w:rPr>
                      <w:b/>
                      <w:bCs/>
                      <w:color w:val="auto"/>
                      <w:szCs w:val="21"/>
                    </w:rPr>
                  </w:pPr>
                  <w:r>
                    <w:rPr>
                      <w:rFonts w:hAnsi="宋体"/>
                      <w:b/>
                      <w:bCs/>
                      <w:color w:val="auto"/>
                      <w:szCs w:val="21"/>
                    </w:rPr>
                    <w:t>环保工程</w:t>
                  </w:r>
                </w:p>
              </w:tc>
              <w:tc>
                <w:tcPr>
                  <w:tcW w:w="897" w:type="pct"/>
                  <w:gridSpan w:val="2"/>
                  <w:vAlign w:val="center"/>
                </w:tcPr>
                <w:p>
                  <w:pPr>
                    <w:adjustRightInd w:val="0"/>
                    <w:snapToGrid w:val="0"/>
                    <w:jc w:val="center"/>
                    <w:rPr>
                      <w:color w:val="auto"/>
                      <w:szCs w:val="21"/>
                    </w:rPr>
                  </w:pPr>
                  <w:r>
                    <w:rPr>
                      <w:rFonts w:hAnsi="宋体"/>
                      <w:color w:val="auto"/>
                      <w:szCs w:val="21"/>
                    </w:rPr>
                    <w:t>废气处理措施</w:t>
                  </w:r>
                </w:p>
              </w:tc>
              <w:tc>
                <w:tcPr>
                  <w:tcW w:w="3450" w:type="pct"/>
                  <w:gridSpan w:val="2"/>
                  <w:vAlign w:val="center"/>
                </w:tcPr>
                <w:p>
                  <w:pPr>
                    <w:adjustRightInd w:val="0"/>
                    <w:snapToGrid w:val="0"/>
                    <w:ind w:firstLine="452" w:firstLineChars="200"/>
                    <w:rPr>
                      <w:color w:val="auto"/>
                      <w:szCs w:val="21"/>
                    </w:rPr>
                  </w:pPr>
                  <w:r>
                    <w:rPr>
                      <w:rFonts w:hint="eastAsia"/>
                      <w:color w:val="auto"/>
                      <w:szCs w:val="21"/>
                    </w:rPr>
                    <w:t>项目油罐区设置卸油油气回收系统（一次回收系统），在卸油时将油罐内的油气排入到槽车内，共设置1套；加油机设置分散式油气回收系统（二次回收系统），将汽车油箱排出的油气回收到加油站的油罐内，共设置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652" w:type="pct"/>
                  <w:vMerge w:val="continue"/>
                  <w:vAlign w:val="center"/>
                </w:tcPr>
                <w:p>
                  <w:pPr>
                    <w:adjustRightInd w:val="0"/>
                    <w:snapToGrid w:val="0"/>
                    <w:jc w:val="center"/>
                    <w:rPr>
                      <w:rFonts w:hAnsi="宋体"/>
                      <w:b/>
                      <w:bCs/>
                      <w:color w:val="auto"/>
                      <w:szCs w:val="21"/>
                    </w:rPr>
                  </w:pPr>
                </w:p>
              </w:tc>
              <w:tc>
                <w:tcPr>
                  <w:tcW w:w="897" w:type="pct"/>
                  <w:gridSpan w:val="2"/>
                  <w:vAlign w:val="center"/>
                </w:tcPr>
                <w:p>
                  <w:pPr>
                    <w:adjustRightInd w:val="0"/>
                    <w:snapToGrid w:val="0"/>
                    <w:jc w:val="center"/>
                    <w:rPr>
                      <w:rFonts w:hint="default" w:hAnsi="宋体" w:eastAsia="宋体"/>
                      <w:color w:val="auto"/>
                      <w:szCs w:val="21"/>
                      <w:lang w:val="en-US" w:eastAsia="zh-CN"/>
                    </w:rPr>
                  </w:pPr>
                  <w:r>
                    <w:rPr>
                      <w:rFonts w:hint="eastAsia" w:hAnsi="宋体"/>
                      <w:color w:val="auto"/>
                      <w:szCs w:val="21"/>
                      <w:lang w:val="en-US" w:eastAsia="zh-CN"/>
                    </w:rPr>
                    <w:t>废水处理措施</w:t>
                  </w:r>
                </w:p>
              </w:tc>
              <w:tc>
                <w:tcPr>
                  <w:tcW w:w="3450" w:type="pct"/>
                  <w:gridSpan w:val="2"/>
                  <w:vAlign w:val="center"/>
                </w:tcPr>
                <w:p>
                  <w:pPr>
                    <w:adjustRightInd w:val="0"/>
                    <w:snapToGrid w:val="0"/>
                    <w:ind w:firstLine="452" w:firstLineChars="200"/>
                    <w:rPr>
                      <w:rFonts w:hint="eastAsia"/>
                      <w:color w:val="auto"/>
                      <w:szCs w:val="21"/>
                    </w:rPr>
                  </w:pPr>
                  <w:r>
                    <w:rPr>
                      <w:rFonts w:hint="eastAsia"/>
                      <w:color w:val="auto"/>
                      <w:szCs w:val="21"/>
                    </w:rPr>
                    <w:t>1座化粪池（</w:t>
                  </w:r>
                  <w:r>
                    <w:rPr>
                      <w:rFonts w:hint="eastAsia"/>
                      <w:color w:val="auto"/>
                      <w:szCs w:val="21"/>
                      <w:lang w:val="en-US" w:eastAsia="zh-CN"/>
                    </w:rPr>
                    <w:t>1</w:t>
                  </w:r>
                  <w:r>
                    <w:rPr>
                      <w:rFonts w:hint="eastAsia"/>
                      <w:color w:val="auto"/>
                      <w:szCs w:val="21"/>
                    </w:rPr>
                    <w:t>0m³）处理后，通过市政污水管网排入中宁县第三污水处理厂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652" w:type="pct"/>
                  <w:vMerge w:val="continue"/>
                  <w:vAlign w:val="center"/>
                </w:tcPr>
                <w:p>
                  <w:pPr>
                    <w:adjustRightInd w:val="0"/>
                    <w:snapToGrid w:val="0"/>
                    <w:jc w:val="center"/>
                    <w:rPr>
                      <w:b/>
                      <w:bCs/>
                      <w:color w:val="auto"/>
                      <w:szCs w:val="21"/>
                    </w:rPr>
                  </w:pPr>
                </w:p>
              </w:tc>
              <w:tc>
                <w:tcPr>
                  <w:tcW w:w="897" w:type="pct"/>
                  <w:gridSpan w:val="2"/>
                  <w:vAlign w:val="center"/>
                </w:tcPr>
                <w:p>
                  <w:pPr>
                    <w:adjustRightInd w:val="0"/>
                    <w:snapToGrid w:val="0"/>
                    <w:jc w:val="center"/>
                    <w:rPr>
                      <w:color w:val="auto"/>
                      <w:szCs w:val="21"/>
                    </w:rPr>
                  </w:pPr>
                  <w:r>
                    <w:rPr>
                      <w:rFonts w:hAnsi="宋体"/>
                      <w:color w:val="auto"/>
                      <w:szCs w:val="21"/>
                    </w:rPr>
                    <w:t>噪声处理措施</w:t>
                  </w:r>
                </w:p>
              </w:tc>
              <w:tc>
                <w:tcPr>
                  <w:tcW w:w="3450" w:type="pct"/>
                  <w:gridSpan w:val="2"/>
                  <w:vAlign w:val="center"/>
                </w:tcPr>
                <w:p>
                  <w:pPr>
                    <w:adjustRightInd w:val="0"/>
                    <w:snapToGrid w:val="0"/>
                    <w:ind w:firstLine="452" w:firstLineChars="200"/>
                    <w:rPr>
                      <w:color w:val="auto"/>
                      <w:szCs w:val="21"/>
                    </w:rPr>
                  </w:pPr>
                  <w:r>
                    <w:rPr>
                      <w:rFonts w:hint="eastAsia"/>
                      <w:color w:val="auto"/>
                      <w:szCs w:val="21"/>
                    </w:rPr>
                    <w:t>加油设备为密封设备，高噪声设备采用隔音、减振等措施，并在进出口设置禁鸣标志及减速带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652" w:type="pct"/>
                  <w:vMerge w:val="continue"/>
                  <w:vAlign w:val="center"/>
                </w:tcPr>
                <w:p>
                  <w:pPr>
                    <w:adjustRightInd w:val="0"/>
                    <w:snapToGrid w:val="0"/>
                    <w:jc w:val="center"/>
                    <w:rPr>
                      <w:b/>
                      <w:bCs/>
                      <w:color w:val="auto"/>
                      <w:szCs w:val="21"/>
                    </w:rPr>
                  </w:pPr>
                  <w:bookmarkStart w:id="2" w:name="_Hlk82105572"/>
                </w:p>
              </w:tc>
              <w:tc>
                <w:tcPr>
                  <w:tcW w:w="379" w:type="pct"/>
                  <w:vMerge w:val="restart"/>
                  <w:vAlign w:val="center"/>
                </w:tcPr>
                <w:p>
                  <w:pPr>
                    <w:adjustRightInd w:val="0"/>
                    <w:snapToGrid w:val="0"/>
                    <w:jc w:val="center"/>
                    <w:rPr>
                      <w:rFonts w:hAnsi="宋体"/>
                      <w:color w:val="auto"/>
                      <w:szCs w:val="21"/>
                    </w:rPr>
                  </w:pPr>
                  <w:r>
                    <w:rPr>
                      <w:rFonts w:hAnsi="宋体"/>
                      <w:color w:val="auto"/>
                      <w:szCs w:val="21"/>
                    </w:rPr>
                    <w:t>固废治理</w:t>
                  </w:r>
                </w:p>
                <w:p>
                  <w:pPr>
                    <w:adjustRightInd w:val="0"/>
                    <w:snapToGrid w:val="0"/>
                    <w:jc w:val="center"/>
                    <w:rPr>
                      <w:rFonts w:hAnsi="宋体"/>
                      <w:color w:val="auto"/>
                      <w:szCs w:val="21"/>
                    </w:rPr>
                  </w:pPr>
                  <w:r>
                    <w:rPr>
                      <w:rFonts w:hAnsi="宋体"/>
                      <w:color w:val="auto"/>
                      <w:szCs w:val="21"/>
                    </w:rPr>
                    <w:t>措施</w:t>
                  </w:r>
                </w:p>
              </w:tc>
              <w:tc>
                <w:tcPr>
                  <w:tcW w:w="517" w:type="pct"/>
                  <w:vAlign w:val="center"/>
                </w:tcPr>
                <w:p>
                  <w:pPr>
                    <w:adjustRightInd w:val="0"/>
                    <w:snapToGrid w:val="0"/>
                    <w:jc w:val="center"/>
                    <w:rPr>
                      <w:rFonts w:hAnsi="宋体"/>
                      <w:color w:val="auto"/>
                      <w:szCs w:val="21"/>
                    </w:rPr>
                  </w:pPr>
                  <w:r>
                    <w:rPr>
                      <w:rFonts w:hAnsi="宋体"/>
                      <w:color w:val="auto"/>
                      <w:szCs w:val="21"/>
                    </w:rPr>
                    <w:t>一般工业固废</w:t>
                  </w:r>
                </w:p>
              </w:tc>
              <w:tc>
                <w:tcPr>
                  <w:tcW w:w="3450" w:type="pct"/>
                  <w:gridSpan w:val="2"/>
                  <w:vAlign w:val="center"/>
                </w:tcPr>
                <w:p>
                  <w:pPr>
                    <w:adjustRightInd w:val="0"/>
                    <w:snapToGrid w:val="0"/>
                    <w:ind w:firstLine="226" w:firstLineChars="100"/>
                    <w:jc w:val="left"/>
                    <w:rPr>
                      <w:rFonts w:hint="eastAsia"/>
                      <w:color w:val="auto"/>
                      <w:szCs w:val="21"/>
                    </w:rPr>
                  </w:pPr>
                  <w:r>
                    <w:rPr>
                      <w:rFonts w:hint="eastAsia"/>
                      <w:color w:val="auto"/>
                      <w:szCs w:val="21"/>
                    </w:rPr>
                    <w:t>垃圾收集箱若干，经收集后送至附近垃圾中转站统一处置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652" w:type="pct"/>
                  <w:vMerge w:val="continue"/>
                  <w:vAlign w:val="center"/>
                </w:tcPr>
                <w:p>
                  <w:pPr>
                    <w:adjustRightInd w:val="0"/>
                    <w:snapToGrid w:val="0"/>
                    <w:jc w:val="center"/>
                    <w:rPr>
                      <w:b/>
                      <w:bCs/>
                      <w:color w:val="auto"/>
                      <w:szCs w:val="21"/>
                    </w:rPr>
                  </w:pPr>
                </w:p>
              </w:tc>
              <w:tc>
                <w:tcPr>
                  <w:tcW w:w="379" w:type="pct"/>
                  <w:vMerge w:val="continue"/>
                  <w:vAlign w:val="center"/>
                </w:tcPr>
                <w:p>
                  <w:pPr>
                    <w:adjustRightInd w:val="0"/>
                    <w:snapToGrid w:val="0"/>
                    <w:jc w:val="center"/>
                    <w:rPr>
                      <w:rFonts w:hAnsi="宋体"/>
                      <w:color w:val="auto"/>
                      <w:szCs w:val="21"/>
                    </w:rPr>
                  </w:pPr>
                </w:p>
              </w:tc>
              <w:tc>
                <w:tcPr>
                  <w:tcW w:w="517" w:type="pct"/>
                  <w:vAlign w:val="center"/>
                </w:tcPr>
                <w:p>
                  <w:pPr>
                    <w:adjustRightInd w:val="0"/>
                    <w:snapToGrid w:val="0"/>
                    <w:jc w:val="center"/>
                    <w:rPr>
                      <w:rFonts w:hint="eastAsia" w:hAnsi="宋体"/>
                      <w:color w:val="auto"/>
                      <w:szCs w:val="21"/>
                      <w:lang w:val="en-US" w:eastAsia="zh-CN"/>
                    </w:rPr>
                  </w:pPr>
                  <w:r>
                    <w:rPr>
                      <w:rFonts w:hint="eastAsia" w:hAnsi="宋体"/>
                      <w:color w:val="auto"/>
                      <w:szCs w:val="21"/>
                      <w:lang w:val="en-US" w:eastAsia="zh-CN"/>
                    </w:rPr>
                    <w:t>危险</w:t>
                  </w:r>
                </w:p>
                <w:p>
                  <w:pPr>
                    <w:adjustRightInd w:val="0"/>
                    <w:snapToGrid w:val="0"/>
                    <w:jc w:val="center"/>
                    <w:rPr>
                      <w:rFonts w:hint="eastAsia" w:hAnsi="宋体" w:eastAsia="宋体"/>
                      <w:color w:val="auto"/>
                      <w:szCs w:val="21"/>
                      <w:lang w:val="en-US" w:eastAsia="zh-CN"/>
                    </w:rPr>
                  </w:pPr>
                  <w:r>
                    <w:rPr>
                      <w:rFonts w:hint="eastAsia" w:hAnsi="宋体"/>
                      <w:color w:val="auto"/>
                      <w:szCs w:val="21"/>
                      <w:lang w:val="en-US" w:eastAsia="zh-CN"/>
                    </w:rPr>
                    <w:t>废物</w:t>
                  </w:r>
                </w:p>
              </w:tc>
              <w:tc>
                <w:tcPr>
                  <w:tcW w:w="3450" w:type="pct"/>
                  <w:gridSpan w:val="2"/>
                  <w:vAlign w:val="center"/>
                </w:tcPr>
                <w:p>
                  <w:pPr>
                    <w:adjustRightInd w:val="0"/>
                    <w:snapToGrid w:val="0"/>
                    <w:ind w:firstLine="452" w:firstLineChars="200"/>
                    <w:rPr>
                      <w:rFonts w:hint="eastAsia"/>
                      <w:color w:val="auto"/>
                      <w:szCs w:val="21"/>
                    </w:rPr>
                  </w:pPr>
                  <w:r>
                    <w:rPr>
                      <w:rFonts w:hint="eastAsia"/>
                      <w:color w:val="auto"/>
                      <w:szCs w:val="21"/>
                    </w:rPr>
                    <w:t>有关清理及检修均委托有资质的第三方单位进行，清理后的油罐油渣属于危险废物，由第三方公司统一回收，不贮存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652" w:type="pct"/>
                  <w:vMerge w:val="continue"/>
                  <w:vAlign w:val="center"/>
                </w:tcPr>
                <w:p>
                  <w:pPr>
                    <w:adjustRightInd w:val="0"/>
                    <w:snapToGrid w:val="0"/>
                    <w:jc w:val="center"/>
                    <w:rPr>
                      <w:b/>
                      <w:bCs/>
                      <w:color w:val="auto"/>
                      <w:szCs w:val="21"/>
                    </w:rPr>
                  </w:pPr>
                </w:p>
              </w:tc>
              <w:tc>
                <w:tcPr>
                  <w:tcW w:w="897" w:type="pct"/>
                  <w:gridSpan w:val="2"/>
                  <w:vAlign w:val="center"/>
                </w:tcPr>
                <w:p>
                  <w:pPr>
                    <w:adjustRightInd w:val="0"/>
                    <w:snapToGrid w:val="0"/>
                    <w:jc w:val="center"/>
                    <w:rPr>
                      <w:rFonts w:hint="default" w:hAnsi="宋体" w:eastAsia="宋体"/>
                      <w:color w:val="auto"/>
                      <w:szCs w:val="21"/>
                      <w:lang w:val="en-US" w:eastAsia="zh-CN"/>
                    </w:rPr>
                  </w:pPr>
                  <w:r>
                    <w:rPr>
                      <w:rFonts w:hint="eastAsia" w:hAnsi="宋体"/>
                      <w:color w:val="auto"/>
                      <w:szCs w:val="21"/>
                      <w:lang w:val="en-US" w:eastAsia="zh-CN"/>
                    </w:rPr>
                    <w:t>环境风险</w:t>
                  </w:r>
                </w:p>
              </w:tc>
              <w:tc>
                <w:tcPr>
                  <w:tcW w:w="3450" w:type="pct"/>
                  <w:gridSpan w:val="2"/>
                  <w:vAlign w:val="center"/>
                </w:tcPr>
                <w:p>
                  <w:pPr>
                    <w:adjustRightInd w:val="0"/>
                    <w:snapToGrid w:val="0"/>
                    <w:ind w:firstLine="452" w:firstLineChars="200"/>
                    <w:rPr>
                      <w:rFonts w:hint="eastAsia"/>
                      <w:color w:val="auto"/>
                      <w:kern w:val="0"/>
                      <w:szCs w:val="21"/>
                      <w:lang w:bidi="ar"/>
                    </w:rPr>
                  </w:pPr>
                  <w:r>
                    <w:rPr>
                      <w:rFonts w:hint="eastAsia"/>
                      <w:color w:val="auto"/>
                      <w:kern w:val="0"/>
                      <w:szCs w:val="21"/>
                      <w:lang w:bidi="ar"/>
                    </w:rPr>
                    <w:t>站区配备器材，推车式干粉灭火器、消防接口、消防沙、 消防铲、消防桶、可燃气体检测报警器探头等</w:t>
                  </w:r>
                </w:p>
              </w:tc>
            </w:tr>
            <w:bookmarkEnd w:id="2"/>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652" w:type="pct"/>
                  <w:vMerge w:val="continue"/>
                  <w:vAlign w:val="center"/>
                </w:tcPr>
                <w:p>
                  <w:pPr>
                    <w:adjustRightInd w:val="0"/>
                    <w:snapToGrid w:val="0"/>
                    <w:jc w:val="center"/>
                    <w:rPr>
                      <w:b/>
                      <w:bCs/>
                      <w:color w:val="auto"/>
                      <w:szCs w:val="21"/>
                    </w:rPr>
                  </w:pPr>
                </w:p>
              </w:tc>
              <w:tc>
                <w:tcPr>
                  <w:tcW w:w="897" w:type="pct"/>
                  <w:gridSpan w:val="2"/>
                  <w:vMerge w:val="restart"/>
                  <w:vAlign w:val="center"/>
                </w:tcPr>
                <w:p>
                  <w:pPr>
                    <w:adjustRightInd w:val="0"/>
                    <w:snapToGrid w:val="0"/>
                    <w:jc w:val="center"/>
                    <w:rPr>
                      <w:color w:val="auto"/>
                      <w:szCs w:val="21"/>
                    </w:rPr>
                  </w:pPr>
                  <w:r>
                    <w:rPr>
                      <w:rFonts w:hAnsi="宋体"/>
                      <w:color w:val="auto"/>
                      <w:szCs w:val="21"/>
                    </w:rPr>
                    <w:t>地下水污染防治措施</w:t>
                  </w:r>
                </w:p>
              </w:tc>
              <w:tc>
                <w:tcPr>
                  <w:tcW w:w="3450" w:type="pct"/>
                  <w:gridSpan w:val="2"/>
                  <w:vAlign w:val="center"/>
                </w:tcPr>
                <w:p>
                  <w:pPr>
                    <w:adjustRightInd w:val="0"/>
                    <w:snapToGrid w:val="0"/>
                    <w:ind w:firstLine="452" w:firstLineChars="200"/>
                    <w:rPr>
                      <w:rFonts w:hint="default" w:eastAsia="宋体"/>
                      <w:color w:val="auto"/>
                      <w:lang w:val="en-US" w:eastAsia="zh-CN"/>
                    </w:rPr>
                  </w:pPr>
                  <w:r>
                    <w:rPr>
                      <w:rFonts w:hint="default" w:eastAsia="宋体"/>
                      <w:color w:val="auto"/>
                      <w:lang w:val="en-US" w:eastAsia="zh-CN"/>
                    </w:rPr>
                    <w:t>采用埋地卧式SF双层储罐，油罐区需设置油品泄漏检测装置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52" w:type="pct"/>
                  <w:vMerge w:val="continue"/>
                  <w:vAlign w:val="center"/>
                </w:tcPr>
                <w:p>
                  <w:pPr>
                    <w:adjustRightInd w:val="0"/>
                    <w:snapToGrid w:val="0"/>
                    <w:ind w:firstLine="452" w:firstLineChars="200"/>
                    <w:rPr>
                      <w:color w:val="auto"/>
                    </w:rPr>
                  </w:pPr>
                </w:p>
              </w:tc>
              <w:tc>
                <w:tcPr>
                  <w:tcW w:w="897" w:type="pct"/>
                  <w:gridSpan w:val="2"/>
                  <w:vMerge w:val="continue"/>
                  <w:vAlign w:val="center"/>
                </w:tcPr>
                <w:p>
                  <w:pPr>
                    <w:adjustRightInd w:val="0"/>
                    <w:snapToGrid w:val="0"/>
                    <w:ind w:firstLine="452" w:firstLineChars="200"/>
                    <w:rPr>
                      <w:color w:val="auto"/>
                    </w:rPr>
                  </w:pPr>
                </w:p>
              </w:tc>
              <w:tc>
                <w:tcPr>
                  <w:tcW w:w="393" w:type="pct"/>
                  <w:vMerge w:val="restart"/>
                  <w:vAlign w:val="center"/>
                </w:tcPr>
                <w:p>
                  <w:pPr>
                    <w:adjustRightInd w:val="0"/>
                    <w:snapToGrid w:val="0"/>
                    <w:rPr>
                      <w:rFonts w:hint="default" w:eastAsia="宋体"/>
                      <w:color w:val="auto"/>
                      <w:lang w:val="en-US" w:eastAsia="zh-CN"/>
                    </w:rPr>
                  </w:pPr>
                  <w:r>
                    <w:rPr>
                      <w:rFonts w:hint="default" w:eastAsia="宋体"/>
                      <w:color w:val="auto"/>
                      <w:lang w:val="en-US" w:eastAsia="zh-CN"/>
                    </w:rPr>
                    <w:t>分区防渗</w:t>
                  </w:r>
                </w:p>
              </w:tc>
              <w:tc>
                <w:tcPr>
                  <w:tcW w:w="3056" w:type="pct"/>
                  <w:vAlign w:val="center"/>
                </w:tcPr>
                <w:p>
                  <w:pPr>
                    <w:adjustRightInd w:val="0"/>
                    <w:snapToGrid w:val="0"/>
                    <w:ind w:firstLine="452" w:firstLineChars="200"/>
                    <w:rPr>
                      <w:rFonts w:hint="default" w:eastAsia="宋体"/>
                      <w:color w:val="auto"/>
                      <w:lang w:val="en-US" w:eastAsia="zh-CN"/>
                    </w:rPr>
                  </w:pPr>
                  <w:r>
                    <w:rPr>
                      <w:rFonts w:hint="default" w:eastAsia="宋体"/>
                      <w:color w:val="auto"/>
                      <w:lang w:val="en-US" w:eastAsia="zh-CN"/>
                    </w:rPr>
                    <w:t>重点防渗区，即油罐区</w:t>
                  </w:r>
                  <w:r>
                    <w:rPr>
                      <w:rFonts w:hint="eastAsia"/>
                      <w:color w:val="auto"/>
                      <w:lang w:val="en-US" w:eastAsia="zh-CN"/>
                    </w:rPr>
                    <w:t>、</w:t>
                  </w:r>
                  <w:r>
                    <w:rPr>
                      <w:rFonts w:hint="eastAsia"/>
                      <w:color w:val="auto"/>
                      <w:szCs w:val="21"/>
                    </w:rPr>
                    <w:t>化粪池</w:t>
                  </w:r>
                  <w:r>
                    <w:rPr>
                      <w:rFonts w:hint="default" w:eastAsia="宋体"/>
                      <w:color w:val="auto"/>
                      <w:lang w:val="en-US" w:eastAsia="zh-CN"/>
                    </w:rPr>
                    <w:t>应符合</w:t>
                  </w:r>
                  <w:r>
                    <w:rPr>
                      <w:rFonts w:hint="eastAsia"/>
                      <w:color w:val="auto"/>
                      <w:lang w:val="en-US" w:eastAsia="zh-CN"/>
                    </w:rPr>
                    <w:t>等效黏土层Mb</w:t>
                  </w:r>
                  <w:r>
                    <w:rPr>
                      <w:rFonts w:hint="default" w:ascii="Arial" w:hAnsi="Arial" w:cs="Arial"/>
                      <w:color w:val="auto"/>
                      <w:lang w:val="en-US" w:eastAsia="zh-CN"/>
                    </w:rPr>
                    <w:t>≥</w:t>
                  </w:r>
                  <w:r>
                    <w:rPr>
                      <w:rFonts w:hint="eastAsia"/>
                      <w:color w:val="auto"/>
                      <w:lang w:val="en-US" w:eastAsia="zh-CN"/>
                    </w:rPr>
                    <w:t>6.0m</w:t>
                  </w:r>
                  <w:r>
                    <w:rPr>
                      <w:rFonts w:hint="default" w:eastAsia="宋体"/>
                      <w:color w:val="auto"/>
                      <w:lang w:val="en-US" w:eastAsia="zh-CN"/>
                    </w:rPr>
                    <w:t>，渗透系数≤10</w:t>
                  </w:r>
                  <w:r>
                    <w:rPr>
                      <w:rFonts w:hint="default" w:eastAsia="宋体"/>
                      <w:color w:val="auto"/>
                      <w:vertAlign w:val="superscript"/>
                      <w:lang w:val="en-US" w:eastAsia="zh-CN"/>
                    </w:rPr>
                    <w:t>-</w:t>
                  </w:r>
                  <w:r>
                    <w:rPr>
                      <w:rFonts w:hint="eastAsia"/>
                      <w:color w:val="auto"/>
                      <w:vertAlign w:val="superscript"/>
                      <w:lang w:val="en-US" w:eastAsia="zh-CN"/>
                    </w:rPr>
                    <w:t>7</w:t>
                  </w:r>
                  <w:r>
                    <w:rPr>
                      <w:rFonts w:hint="default" w:eastAsia="宋体"/>
                      <w:color w:val="auto"/>
                      <w:lang w:val="en-US" w:eastAsia="zh-CN"/>
                    </w:rPr>
                    <w:t>cm/s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52" w:type="pct"/>
                  <w:vMerge w:val="continue"/>
                  <w:vAlign w:val="center"/>
                </w:tcPr>
                <w:p>
                  <w:pPr>
                    <w:adjustRightInd w:val="0"/>
                    <w:snapToGrid w:val="0"/>
                    <w:ind w:firstLine="452" w:firstLineChars="200"/>
                    <w:rPr>
                      <w:color w:val="auto"/>
                    </w:rPr>
                  </w:pPr>
                </w:p>
              </w:tc>
              <w:tc>
                <w:tcPr>
                  <w:tcW w:w="897" w:type="pct"/>
                  <w:gridSpan w:val="2"/>
                  <w:vMerge w:val="continue"/>
                  <w:vAlign w:val="center"/>
                </w:tcPr>
                <w:p>
                  <w:pPr>
                    <w:adjustRightInd w:val="0"/>
                    <w:snapToGrid w:val="0"/>
                    <w:ind w:firstLine="452" w:firstLineChars="200"/>
                    <w:rPr>
                      <w:color w:val="auto"/>
                    </w:rPr>
                  </w:pPr>
                </w:p>
              </w:tc>
              <w:tc>
                <w:tcPr>
                  <w:tcW w:w="393" w:type="pct"/>
                  <w:vMerge w:val="continue"/>
                  <w:vAlign w:val="center"/>
                </w:tcPr>
                <w:p>
                  <w:pPr>
                    <w:adjustRightInd w:val="0"/>
                    <w:snapToGrid w:val="0"/>
                    <w:ind w:firstLine="452" w:firstLineChars="200"/>
                    <w:rPr>
                      <w:color w:val="auto"/>
                    </w:rPr>
                  </w:pPr>
                </w:p>
              </w:tc>
              <w:tc>
                <w:tcPr>
                  <w:tcW w:w="3056" w:type="pct"/>
                  <w:vAlign w:val="center"/>
                </w:tcPr>
                <w:p>
                  <w:pPr>
                    <w:adjustRightInd w:val="0"/>
                    <w:snapToGrid w:val="0"/>
                    <w:ind w:firstLine="452" w:firstLineChars="200"/>
                    <w:rPr>
                      <w:color w:val="auto"/>
                    </w:rPr>
                  </w:pPr>
                  <w:r>
                    <w:rPr>
                      <w:rFonts w:hint="default" w:eastAsia="宋体"/>
                      <w:color w:val="auto"/>
                      <w:lang w:val="en-US" w:eastAsia="zh-CN"/>
                    </w:rPr>
                    <w:t>一般防渗区，加油区、进出口道路等施工应符合</w:t>
                  </w:r>
                  <w:r>
                    <w:rPr>
                      <w:rFonts w:hint="eastAsia"/>
                      <w:color w:val="auto"/>
                      <w:lang w:val="en-US" w:eastAsia="zh-CN"/>
                    </w:rPr>
                    <w:t>等效黏土层Mb</w:t>
                  </w:r>
                  <w:r>
                    <w:rPr>
                      <w:rFonts w:hint="default" w:ascii="Arial" w:hAnsi="Arial" w:cs="Arial"/>
                      <w:color w:val="auto"/>
                      <w:lang w:val="en-US" w:eastAsia="zh-CN"/>
                    </w:rPr>
                    <w:t>≥</w:t>
                  </w:r>
                  <w:r>
                    <w:rPr>
                      <w:rFonts w:hint="eastAsia"/>
                      <w:color w:val="auto"/>
                      <w:lang w:val="en-US" w:eastAsia="zh-CN"/>
                    </w:rPr>
                    <w:t>1.5m</w:t>
                  </w:r>
                  <w:r>
                    <w:rPr>
                      <w:rFonts w:hint="default" w:eastAsia="宋体"/>
                      <w:color w:val="auto"/>
                      <w:lang w:val="en-US" w:eastAsia="zh-CN"/>
                    </w:rPr>
                    <w:t>，渗透系数≤10</w:t>
                  </w:r>
                  <w:r>
                    <w:rPr>
                      <w:rFonts w:hint="default" w:eastAsia="宋体"/>
                      <w:color w:val="auto"/>
                      <w:vertAlign w:val="superscript"/>
                      <w:lang w:val="en-US" w:eastAsia="zh-CN"/>
                    </w:rPr>
                    <w:t>-7</w:t>
                  </w:r>
                  <w:r>
                    <w:rPr>
                      <w:rFonts w:hint="default" w:eastAsia="宋体"/>
                      <w:color w:val="auto"/>
                      <w:lang w:val="en-US" w:eastAsia="zh-CN"/>
                    </w:rPr>
                    <w:t>cm/s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652" w:type="pct"/>
                  <w:vMerge w:val="continue"/>
                  <w:vAlign w:val="center"/>
                </w:tcPr>
                <w:p>
                  <w:pPr>
                    <w:adjustRightInd w:val="0"/>
                    <w:snapToGrid w:val="0"/>
                    <w:ind w:firstLine="452" w:firstLineChars="200"/>
                    <w:rPr>
                      <w:color w:val="auto"/>
                    </w:rPr>
                  </w:pPr>
                </w:p>
              </w:tc>
              <w:tc>
                <w:tcPr>
                  <w:tcW w:w="897" w:type="pct"/>
                  <w:gridSpan w:val="2"/>
                  <w:vMerge w:val="continue"/>
                  <w:vAlign w:val="center"/>
                </w:tcPr>
                <w:p>
                  <w:pPr>
                    <w:adjustRightInd w:val="0"/>
                    <w:snapToGrid w:val="0"/>
                    <w:ind w:firstLine="452" w:firstLineChars="200"/>
                    <w:rPr>
                      <w:color w:val="auto"/>
                    </w:rPr>
                  </w:pPr>
                </w:p>
              </w:tc>
              <w:tc>
                <w:tcPr>
                  <w:tcW w:w="3450" w:type="pct"/>
                  <w:gridSpan w:val="2"/>
                  <w:vAlign w:val="center"/>
                </w:tcPr>
                <w:p>
                  <w:pPr>
                    <w:adjustRightInd w:val="0"/>
                    <w:snapToGrid w:val="0"/>
                    <w:ind w:firstLine="452" w:firstLineChars="200"/>
                    <w:jc w:val="center"/>
                    <w:rPr>
                      <w:rFonts w:hint="default" w:eastAsia="宋体"/>
                      <w:color w:val="auto"/>
                      <w:lang w:val="en-US" w:eastAsia="zh-CN"/>
                    </w:rPr>
                  </w:pPr>
                  <w:r>
                    <w:rPr>
                      <w:rFonts w:hint="default" w:eastAsia="宋体"/>
                      <w:color w:val="auto"/>
                      <w:lang w:val="en-US" w:eastAsia="zh-CN"/>
                    </w:rPr>
                    <w:t>设置1座地下水</w:t>
                  </w:r>
                  <w:r>
                    <w:rPr>
                      <w:rFonts w:hint="eastAsia"/>
                      <w:color w:val="auto"/>
                      <w:lang w:val="en-US" w:eastAsia="zh-CN"/>
                    </w:rPr>
                    <w:t>跟踪</w:t>
                  </w:r>
                  <w:r>
                    <w:rPr>
                      <w:rFonts w:hint="default" w:eastAsia="宋体"/>
                      <w:color w:val="auto"/>
                      <w:lang w:val="en-US" w:eastAsia="zh-CN"/>
                    </w:rPr>
                    <w:t>监测井</w:t>
                  </w:r>
                </w:p>
              </w:tc>
            </w:tr>
          </w:tbl>
          <w:p>
            <w:pPr>
              <w:keepNext w:val="0"/>
              <w:keepLines w:val="0"/>
              <w:widowControl/>
              <w:suppressLineNumbers w:val="0"/>
              <w:jc w:val="left"/>
              <w:rPr>
                <w:rFonts w:hint="default" w:ascii="Times New Roman" w:hAnsi="Times New Roman" w:eastAsia="黑体" w:cs="Times New Roman"/>
                <w:b w:val="0"/>
                <w:bCs w:val="0"/>
                <w:color w:val="auto"/>
                <w:sz w:val="24"/>
                <w:szCs w:val="24"/>
                <w:lang w:val="en-US" w:eastAsia="zh-CN"/>
              </w:rPr>
            </w:pPr>
            <w:r>
              <w:rPr>
                <w:rFonts w:hint="eastAsia" w:eastAsia="黑体" w:cs="Times New Roman"/>
                <w:b w:val="0"/>
                <w:bCs w:val="0"/>
                <w:color w:val="auto"/>
                <w:sz w:val="24"/>
                <w:szCs w:val="24"/>
                <w:lang w:val="en-US" w:eastAsia="zh-CN"/>
              </w:rPr>
              <w:t>3主要产品及产能</w:t>
            </w:r>
          </w:p>
          <w:p>
            <w:pPr>
              <w:keepNext w:val="0"/>
              <w:keepLines w:val="0"/>
              <w:widowControl/>
              <w:suppressLineNumbers w:val="0"/>
              <w:ind w:firstLine="512" w:firstLineChars="200"/>
              <w:jc w:val="left"/>
              <w:rPr>
                <w:rFonts w:hint="eastAsia" w:eastAsia="黑体" w:cs="Times New Roman"/>
                <w:b w:val="0"/>
                <w:bCs w:val="0"/>
                <w:color w:val="auto"/>
                <w:sz w:val="24"/>
                <w:szCs w:val="24"/>
                <w:lang w:val="en-US" w:eastAsia="zh-CN"/>
              </w:rPr>
            </w:pPr>
            <w:r>
              <w:rPr>
                <w:rFonts w:hint="eastAsia" w:cs="Times New Roman"/>
                <w:color w:val="auto"/>
                <w:kern w:val="0"/>
                <w:sz w:val="24"/>
                <w:szCs w:val="24"/>
                <w:lang w:val="en-US" w:eastAsia="zh-CN" w:bidi="ar"/>
              </w:rPr>
              <w:t>拟建</w:t>
            </w:r>
            <w:r>
              <w:rPr>
                <w:rFonts w:hint="eastAsia" w:ascii="Times New Roman" w:hAnsi="Times New Roman" w:eastAsia="宋体" w:cs="Times New Roman"/>
                <w:color w:val="auto"/>
                <w:kern w:val="0"/>
                <w:sz w:val="24"/>
                <w:szCs w:val="24"/>
                <w:lang w:val="en-US" w:eastAsia="zh-CN" w:bidi="ar"/>
              </w:rPr>
              <w:t>项目产品及</w:t>
            </w:r>
            <w:r>
              <w:rPr>
                <w:rFonts w:hint="eastAsia" w:cs="Times New Roman"/>
                <w:color w:val="auto"/>
                <w:kern w:val="0"/>
                <w:sz w:val="24"/>
                <w:szCs w:val="24"/>
                <w:lang w:val="en-US" w:eastAsia="zh-CN" w:bidi="ar"/>
              </w:rPr>
              <w:t>预计</w:t>
            </w:r>
            <w:r>
              <w:rPr>
                <w:rFonts w:hint="eastAsia" w:ascii="Times New Roman" w:hAnsi="Times New Roman" w:eastAsia="宋体" w:cs="Times New Roman"/>
                <w:color w:val="auto"/>
                <w:kern w:val="0"/>
                <w:sz w:val="24"/>
                <w:szCs w:val="24"/>
                <w:lang w:val="en-US" w:eastAsia="zh-CN" w:bidi="ar"/>
              </w:rPr>
              <w:t>销量详见下表</w:t>
            </w:r>
            <w:r>
              <w:rPr>
                <w:rFonts w:hint="eastAsia" w:eastAsia="黑体" w:cs="Times New Roman"/>
                <w:b w:val="0"/>
                <w:bCs w:val="0"/>
                <w:color w:val="auto"/>
                <w:sz w:val="24"/>
                <w:szCs w:val="24"/>
                <w:lang w:val="en-US" w:eastAsia="zh-CN"/>
              </w:rPr>
              <w:t>。</w:t>
            </w:r>
          </w:p>
          <w:p>
            <w:pPr>
              <w:tabs>
                <w:tab w:val="left" w:pos="3332"/>
              </w:tabs>
              <w:snapToGrid w:val="0"/>
              <w:ind w:right="482"/>
              <w:jc w:val="center"/>
              <w:rPr>
                <w:rFonts w:hint="eastAsia" w:eastAsia="黑体"/>
                <w:bCs/>
                <w:color w:val="auto"/>
                <w:kern w:val="0"/>
                <w:sz w:val="24"/>
                <w:lang w:val="en-US" w:eastAsia="zh-CN"/>
              </w:rPr>
            </w:pPr>
            <w:r>
              <w:rPr>
                <w:rFonts w:eastAsia="黑体"/>
                <w:bCs/>
                <w:color w:val="auto"/>
                <w:kern w:val="0"/>
                <w:sz w:val="24"/>
              </w:rPr>
              <w:t>表2-</w:t>
            </w:r>
            <w:r>
              <w:rPr>
                <w:rFonts w:hint="eastAsia" w:eastAsia="黑体"/>
                <w:bCs/>
                <w:color w:val="auto"/>
                <w:kern w:val="0"/>
                <w:sz w:val="24"/>
                <w:lang w:val="en-US" w:eastAsia="zh-CN"/>
              </w:rPr>
              <w:t xml:space="preserve">2 </w:t>
            </w:r>
            <w:r>
              <w:rPr>
                <w:rFonts w:hint="eastAsia" w:eastAsia="黑体"/>
                <w:bCs/>
                <w:color w:val="auto"/>
                <w:kern w:val="0"/>
                <w:sz w:val="24"/>
              </w:rPr>
              <w:t>主要产品及预计销量一览表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952"/>
              <w:gridCol w:w="59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657" w:type="pct"/>
                  <w:shd w:val="clear" w:color="auto" w:fill="auto"/>
                  <w:vAlign w:val="center"/>
                </w:tcPr>
                <w:p>
                  <w:pPr>
                    <w:pStyle w:val="77"/>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olor w:val="auto"/>
                      <w:sz w:val="21"/>
                      <w:szCs w:val="21"/>
                      <w:lang w:val="en-US" w:eastAsia="zh-CN"/>
                    </w:rPr>
                  </w:pPr>
                  <w:r>
                    <w:rPr>
                      <w:rFonts w:hint="eastAsia" w:ascii="Times New Roman" w:hAnsi="Times New Roman"/>
                      <w:b/>
                      <w:bCs/>
                      <w:color w:val="auto"/>
                      <w:sz w:val="21"/>
                      <w:szCs w:val="21"/>
                      <w:lang w:val="en-US" w:eastAsia="zh-CN"/>
                    </w:rPr>
                    <w:t>产品名称</w:t>
                  </w:r>
                </w:p>
              </w:tc>
              <w:tc>
                <w:tcPr>
                  <w:tcW w:w="3342" w:type="pct"/>
                  <w:shd w:val="clear" w:color="auto" w:fill="auto"/>
                  <w:vAlign w:val="center"/>
                </w:tcPr>
                <w:p>
                  <w:pPr>
                    <w:keepNext w:val="0"/>
                    <w:keepLines w:val="0"/>
                    <w:pageBreakBefore w:val="0"/>
                    <w:widowControl/>
                    <w:kinsoku/>
                    <w:wordWrap/>
                    <w:overflowPunct/>
                    <w:topLinePunct w:val="0"/>
                    <w:autoSpaceDE/>
                    <w:autoSpaceDN/>
                    <w:bidi w:val="0"/>
                    <w:snapToGrid w:val="0"/>
                    <w:jc w:val="center"/>
                    <w:textAlignment w:val="auto"/>
                    <w:rPr>
                      <w:rFonts w:hint="default"/>
                      <w:color w:val="auto"/>
                      <w:kern w:val="0"/>
                      <w:szCs w:val="21"/>
                      <w:lang w:val="en-US" w:eastAsia="zh-CN" w:bidi="ar"/>
                    </w:rPr>
                  </w:pPr>
                  <w:r>
                    <w:rPr>
                      <w:rFonts w:hint="eastAsia"/>
                      <w:b/>
                      <w:bCs/>
                      <w:color w:val="auto"/>
                      <w:kern w:val="0"/>
                      <w:szCs w:val="21"/>
                      <w:lang w:val="en-US" w:eastAsia="zh-CN" w:bidi="ar"/>
                    </w:rPr>
                    <w:t>销售量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657" w:type="pct"/>
                  <w:shd w:val="clear" w:color="auto" w:fill="auto"/>
                  <w:vAlign w:val="center"/>
                </w:tcPr>
                <w:p>
                  <w:pPr>
                    <w:pStyle w:val="77"/>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汽油</w:t>
                  </w:r>
                </w:p>
              </w:tc>
              <w:tc>
                <w:tcPr>
                  <w:tcW w:w="3342" w:type="pct"/>
                  <w:shd w:val="clear" w:color="auto" w:fill="auto"/>
                  <w:vAlign w:val="center"/>
                </w:tcPr>
                <w:p>
                  <w:pPr>
                    <w:keepNext w:val="0"/>
                    <w:keepLines w:val="0"/>
                    <w:pageBreakBefore w:val="0"/>
                    <w:widowControl/>
                    <w:kinsoku/>
                    <w:wordWrap/>
                    <w:overflowPunct/>
                    <w:topLinePunct w:val="0"/>
                    <w:autoSpaceDE/>
                    <w:autoSpaceDN/>
                    <w:bidi w:val="0"/>
                    <w:snapToGrid w:val="0"/>
                    <w:jc w:val="center"/>
                    <w:textAlignment w:val="auto"/>
                    <w:rPr>
                      <w:rFonts w:hint="default"/>
                      <w:color w:val="auto"/>
                      <w:kern w:val="0"/>
                      <w:szCs w:val="21"/>
                      <w:lang w:val="en-US" w:eastAsia="zh-CN" w:bidi="ar"/>
                    </w:rPr>
                  </w:pPr>
                  <w:r>
                    <w:rPr>
                      <w:rFonts w:hint="eastAsia"/>
                      <w:color w:val="auto"/>
                      <w:kern w:val="0"/>
                      <w:szCs w:val="21"/>
                      <w:lang w:val="en-US" w:eastAsia="zh-CN" w:bidi="ar"/>
                    </w:rPr>
                    <w:t>2000t/a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57" w:type="pct"/>
                  <w:shd w:val="clear" w:color="auto" w:fill="auto"/>
                  <w:vAlign w:val="center"/>
                </w:tcPr>
                <w:p>
                  <w:pPr>
                    <w:pStyle w:val="77"/>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18"/>
                      <w:szCs w:val="18"/>
                      <w:lang w:val="en-US" w:eastAsia="zh-CN" w:bidi="ar"/>
                    </w:rPr>
                  </w:pPr>
                  <w:r>
                    <w:rPr>
                      <w:rFonts w:hint="eastAsia" w:ascii="Times New Roman" w:hAnsi="Times New Roman"/>
                      <w:color w:val="auto"/>
                      <w:sz w:val="21"/>
                      <w:szCs w:val="21"/>
                      <w:lang w:val="en-US" w:eastAsia="zh-CN" w:bidi="ar"/>
                    </w:rPr>
                    <w:t>柴油</w:t>
                  </w:r>
                </w:p>
              </w:tc>
              <w:tc>
                <w:tcPr>
                  <w:tcW w:w="3342" w:type="pct"/>
                  <w:shd w:val="clear" w:color="auto" w:fill="auto"/>
                  <w:vAlign w:val="center"/>
                </w:tcPr>
                <w:p>
                  <w:pPr>
                    <w:keepNext w:val="0"/>
                    <w:keepLines w:val="0"/>
                    <w:pageBreakBefore w:val="0"/>
                    <w:widowControl/>
                    <w:kinsoku/>
                    <w:wordWrap/>
                    <w:overflowPunct/>
                    <w:topLinePunct w:val="0"/>
                    <w:autoSpaceDE/>
                    <w:autoSpaceDN/>
                    <w:bidi w:val="0"/>
                    <w:snapToGrid w:val="0"/>
                    <w:jc w:val="center"/>
                    <w:textAlignment w:val="auto"/>
                    <w:rPr>
                      <w:rFonts w:hint="default" w:eastAsia="宋体"/>
                      <w:color w:val="auto"/>
                      <w:kern w:val="0"/>
                      <w:szCs w:val="21"/>
                      <w:lang w:val="en-US" w:eastAsia="zh-CN" w:bidi="ar"/>
                    </w:rPr>
                  </w:pPr>
                  <w:r>
                    <w:rPr>
                      <w:rFonts w:hint="eastAsia"/>
                      <w:color w:val="auto"/>
                      <w:kern w:val="0"/>
                      <w:szCs w:val="21"/>
                      <w:lang w:val="en-US" w:eastAsia="zh-CN" w:bidi="ar"/>
                    </w:rPr>
                    <w:t>2000t/a</w:t>
                  </w:r>
                </w:p>
              </w:tc>
            </w:tr>
          </w:tbl>
          <w:p>
            <w:pPr>
              <w:keepNext w:val="0"/>
              <w:keepLines w:val="0"/>
              <w:widowControl/>
              <w:suppressLineNumbers w:val="0"/>
              <w:jc w:val="left"/>
              <w:rPr>
                <w:rFonts w:hint="default" w:ascii="Times New Roman" w:hAnsi="Times New Roman" w:eastAsia="黑体" w:cs="Times New Roman"/>
                <w:b w:val="0"/>
                <w:bCs w:val="0"/>
                <w:color w:val="auto"/>
                <w:sz w:val="24"/>
                <w:szCs w:val="24"/>
              </w:rPr>
            </w:pPr>
            <w:r>
              <w:rPr>
                <w:rFonts w:hint="eastAsia" w:eastAsia="黑体" w:cs="Times New Roman"/>
                <w:b w:val="0"/>
                <w:bCs w:val="0"/>
                <w:color w:val="auto"/>
                <w:sz w:val="24"/>
                <w:szCs w:val="24"/>
                <w:lang w:val="en-US" w:eastAsia="zh-CN"/>
              </w:rPr>
              <w:t>4</w:t>
            </w:r>
            <w:r>
              <w:rPr>
                <w:rFonts w:hint="default" w:ascii="Times New Roman" w:hAnsi="Times New Roman" w:eastAsia="黑体" w:cs="Times New Roman"/>
                <w:b w:val="0"/>
                <w:bCs w:val="0"/>
                <w:color w:val="auto"/>
                <w:kern w:val="0"/>
                <w:sz w:val="24"/>
                <w:szCs w:val="24"/>
                <w:lang w:val="en-US" w:eastAsia="zh-CN" w:bidi="ar"/>
              </w:rPr>
              <w:t xml:space="preserve">原辅材料用量 </w:t>
            </w:r>
          </w:p>
          <w:p>
            <w:pPr>
              <w:keepNext w:val="0"/>
              <w:keepLines w:val="0"/>
              <w:widowControl/>
              <w:suppressLineNumbers w:val="0"/>
              <w:ind w:firstLine="512" w:firstLineChars="200"/>
              <w:jc w:val="left"/>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kern w:val="0"/>
                <w:sz w:val="24"/>
                <w:szCs w:val="24"/>
                <w:lang w:val="en-US" w:eastAsia="zh-CN" w:bidi="ar"/>
              </w:rPr>
              <w:t>拟建项目原辅材料消耗见表2-</w:t>
            </w:r>
            <w:r>
              <w:rPr>
                <w:rFonts w:hint="eastAsia" w:cs="Times New Roman"/>
                <w:color w:val="auto"/>
                <w:kern w:val="0"/>
                <w:sz w:val="24"/>
                <w:szCs w:val="24"/>
                <w:lang w:val="en-US" w:eastAsia="zh-CN" w:bidi="ar"/>
              </w:rPr>
              <w:t>3</w:t>
            </w:r>
            <w:r>
              <w:rPr>
                <w:rFonts w:hint="default" w:ascii="Times New Roman" w:hAnsi="Times New Roman" w:eastAsia="宋体" w:cs="Times New Roman"/>
                <w:color w:val="auto"/>
                <w:kern w:val="0"/>
                <w:sz w:val="24"/>
                <w:szCs w:val="24"/>
                <w:lang w:val="en-US" w:eastAsia="zh-CN" w:bidi="ar"/>
              </w:rPr>
              <w:t>。</w:t>
            </w:r>
          </w:p>
          <w:p>
            <w:pPr>
              <w:tabs>
                <w:tab w:val="left" w:pos="3332"/>
              </w:tabs>
              <w:snapToGrid w:val="0"/>
              <w:ind w:right="482"/>
              <w:jc w:val="center"/>
              <w:rPr>
                <w:rFonts w:eastAsia="黑体"/>
                <w:b/>
                <w:color w:val="auto"/>
                <w:kern w:val="0"/>
                <w:sz w:val="24"/>
              </w:rPr>
            </w:pPr>
            <w:r>
              <w:rPr>
                <w:rFonts w:eastAsia="黑体"/>
                <w:bCs/>
                <w:color w:val="auto"/>
                <w:kern w:val="0"/>
                <w:sz w:val="24"/>
              </w:rPr>
              <w:t>表2-</w:t>
            </w:r>
            <w:r>
              <w:rPr>
                <w:rFonts w:hint="eastAsia" w:eastAsia="黑体"/>
                <w:bCs/>
                <w:color w:val="auto"/>
                <w:kern w:val="0"/>
                <w:sz w:val="24"/>
                <w:lang w:val="en-US" w:eastAsia="zh-CN"/>
              </w:rPr>
              <w:t xml:space="preserve">3  </w:t>
            </w:r>
            <w:r>
              <w:rPr>
                <w:rFonts w:eastAsia="黑体"/>
                <w:bCs/>
                <w:color w:val="auto"/>
                <w:kern w:val="0"/>
                <w:sz w:val="24"/>
              </w:rPr>
              <w:t>本项目原辅材料消耗一览表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630"/>
              <w:gridCol w:w="1697"/>
              <w:gridCol w:w="1562"/>
              <w:gridCol w:w="1245"/>
              <w:gridCol w:w="1466"/>
              <w:gridCol w:w="13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15" w:type="pct"/>
                  <w:vMerge w:val="restart"/>
                  <w:shd w:val="clear" w:color="auto" w:fill="auto"/>
                  <w:vAlign w:val="center"/>
                </w:tcPr>
                <w:p>
                  <w:pPr>
                    <w:pStyle w:val="77"/>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b/>
                      <w:bCs/>
                      <w:color w:val="auto"/>
                      <w:sz w:val="21"/>
                      <w:szCs w:val="21"/>
                    </w:rPr>
                  </w:pPr>
                  <w:r>
                    <w:rPr>
                      <w:rFonts w:ascii="Times New Roman" w:hAnsi="Times New Roman"/>
                      <w:b/>
                      <w:bCs/>
                      <w:color w:val="auto"/>
                      <w:sz w:val="21"/>
                      <w:szCs w:val="21"/>
                    </w:rPr>
                    <w:t>名称</w:t>
                  </w:r>
                </w:p>
              </w:tc>
              <w:tc>
                <w:tcPr>
                  <w:tcW w:w="1828" w:type="pct"/>
                  <w:gridSpan w:val="2"/>
                  <w:shd w:val="clear" w:color="auto" w:fill="auto"/>
                  <w:vAlign w:val="center"/>
                </w:tcPr>
                <w:p>
                  <w:pPr>
                    <w:pStyle w:val="77"/>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b/>
                      <w:bCs/>
                      <w:color w:val="auto"/>
                      <w:sz w:val="21"/>
                      <w:szCs w:val="21"/>
                    </w:rPr>
                  </w:pPr>
                  <w:r>
                    <w:rPr>
                      <w:rFonts w:ascii="Times New Roman" w:hAnsi="Times New Roman"/>
                      <w:b/>
                      <w:bCs/>
                      <w:color w:val="auto"/>
                      <w:sz w:val="21"/>
                      <w:szCs w:val="21"/>
                    </w:rPr>
                    <w:t>消耗量</w:t>
                  </w:r>
                </w:p>
              </w:tc>
              <w:tc>
                <w:tcPr>
                  <w:tcW w:w="698" w:type="pct"/>
                  <w:vMerge w:val="restart"/>
                  <w:shd w:val="clear" w:color="auto" w:fill="auto"/>
                  <w:vAlign w:val="center"/>
                </w:tcPr>
                <w:p>
                  <w:pPr>
                    <w:pStyle w:val="77"/>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b/>
                      <w:bCs/>
                      <w:color w:val="auto"/>
                      <w:sz w:val="21"/>
                      <w:szCs w:val="21"/>
                    </w:rPr>
                  </w:pPr>
                  <w:r>
                    <w:rPr>
                      <w:rFonts w:ascii="Times New Roman" w:hAnsi="Times New Roman"/>
                      <w:b/>
                      <w:bCs/>
                      <w:color w:val="auto"/>
                      <w:sz w:val="21"/>
                      <w:szCs w:val="21"/>
                    </w:rPr>
                    <w:t>功能</w:t>
                  </w:r>
                </w:p>
              </w:tc>
              <w:tc>
                <w:tcPr>
                  <w:tcW w:w="822" w:type="pct"/>
                  <w:vMerge w:val="restart"/>
                  <w:shd w:val="clear" w:color="auto" w:fill="auto"/>
                  <w:vAlign w:val="center"/>
                </w:tcPr>
                <w:p>
                  <w:pPr>
                    <w:pStyle w:val="77"/>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b/>
                      <w:bCs/>
                      <w:color w:val="auto"/>
                      <w:sz w:val="21"/>
                      <w:szCs w:val="21"/>
                    </w:rPr>
                  </w:pPr>
                  <w:r>
                    <w:rPr>
                      <w:rFonts w:ascii="Times New Roman" w:hAnsi="Times New Roman"/>
                      <w:b/>
                      <w:bCs/>
                      <w:color w:val="auto"/>
                      <w:sz w:val="21"/>
                      <w:szCs w:val="21"/>
                    </w:rPr>
                    <w:t>储存方式</w:t>
                  </w:r>
                </w:p>
              </w:tc>
              <w:tc>
                <w:tcPr>
                  <w:tcW w:w="735" w:type="pct"/>
                  <w:vMerge w:val="restart"/>
                  <w:shd w:val="clear" w:color="auto" w:fill="auto"/>
                  <w:vAlign w:val="center"/>
                </w:tcPr>
                <w:p>
                  <w:pPr>
                    <w:pStyle w:val="77"/>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b/>
                      <w:bCs/>
                      <w:color w:val="auto"/>
                      <w:sz w:val="21"/>
                      <w:szCs w:val="21"/>
                      <w:lang w:eastAsia="zh-CN"/>
                    </w:rPr>
                  </w:pPr>
                  <w:r>
                    <w:rPr>
                      <w:rFonts w:hint="eastAsia" w:ascii="Times New Roman" w:hAnsi="Times New Roman"/>
                      <w:b/>
                      <w:bCs/>
                      <w:color w:val="auto"/>
                      <w:sz w:val="21"/>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15" w:type="pct"/>
                  <w:vMerge w:val="continue"/>
                  <w:shd w:val="clear" w:color="auto" w:fill="auto"/>
                  <w:vAlign w:val="center"/>
                </w:tcPr>
                <w:p>
                  <w:pPr>
                    <w:pStyle w:val="77"/>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sz w:val="21"/>
                      <w:szCs w:val="21"/>
                    </w:rPr>
                  </w:pPr>
                </w:p>
              </w:tc>
              <w:tc>
                <w:tcPr>
                  <w:tcW w:w="952" w:type="pct"/>
                  <w:shd w:val="clear" w:color="auto" w:fill="auto"/>
                  <w:vAlign w:val="center"/>
                </w:tcPr>
                <w:p>
                  <w:pPr>
                    <w:pStyle w:val="77"/>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b/>
                      <w:bCs/>
                      <w:color w:val="auto"/>
                      <w:sz w:val="21"/>
                      <w:szCs w:val="21"/>
                    </w:rPr>
                  </w:pPr>
                  <w:r>
                    <w:rPr>
                      <w:rFonts w:ascii="Times New Roman" w:hAnsi="Times New Roman"/>
                      <w:b/>
                      <w:bCs/>
                      <w:color w:val="auto"/>
                      <w:sz w:val="21"/>
                      <w:szCs w:val="21"/>
                    </w:rPr>
                    <w:t>年消耗量</w:t>
                  </w:r>
                </w:p>
              </w:tc>
              <w:tc>
                <w:tcPr>
                  <w:tcW w:w="875" w:type="pct"/>
                  <w:shd w:val="clear" w:color="auto" w:fill="auto"/>
                  <w:vAlign w:val="center"/>
                </w:tcPr>
                <w:p>
                  <w:pPr>
                    <w:pStyle w:val="77"/>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b/>
                      <w:bCs/>
                      <w:color w:val="auto"/>
                      <w:sz w:val="21"/>
                      <w:szCs w:val="21"/>
                    </w:rPr>
                  </w:pPr>
                  <w:r>
                    <w:rPr>
                      <w:rFonts w:ascii="Times New Roman" w:hAnsi="Times New Roman"/>
                      <w:b/>
                      <w:bCs/>
                      <w:color w:val="auto"/>
                      <w:sz w:val="21"/>
                      <w:szCs w:val="21"/>
                    </w:rPr>
                    <w:t>最大储量</w:t>
                  </w:r>
                </w:p>
              </w:tc>
              <w:tc>
                <w:tcPr>
                  <w:tcW w:w="698" w:type="pct"/>
                  <w:vMerge w:val="continue"/>
                  <w:shd w:val="clear" w:color="auto" w:fill="auto"/>
                  <w:vAlign w:val="center"/>
                </w:tcPr>
                <w:p>
                  <w:pPr>
                    <w:pStyle w:val="77"/>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b/>
                      <w:bCs/>
                      <w:color w:val="auto"/>
                      <w:sz w:val="21"/>
                      <w:szCs w:val="21"/>
                    </w:rPr>
                  </w:pPr>
                </w:p>
              </w:tc>
              <w:tc>
                <w:tcPr>
                  <w:tcW w:w="822" w:type="pct"/>
                  <w:vMerge w:val="continue"/>
                  <w:shd w:val="clear" w:color="auto" w:fill="auto"/>
                  <w:vAlign w:val="center"/>
                </w:tcPr>
                <w:p>
                  <w:pPr>
                    <w:pStyle w:val="77"/>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b/>
                      <w:bCs/>
                      <w:color w:val="auto"/>
                      <w:sz w:val="21"/>
                      <w:szCs w:val="21"/>
                    </w:rPr>
                  </w:pPr>
                </w:p>
              </w:tc>
              <w:tc>
                <w:tcPr>
                  <w:tcW w:w="735" w:type="pct"/>
                  <w:vMerge w:val="continue"/>
                  <w:shd w:val="clear" w:color="auto" w:fill="auto"/>
                  <w:vAlign w:val="center"/>
                </w:tcPr>
                <w:p>
                  <w:pPr>
                    <w:pStyle w:val="77"/>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b/>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15" w:type="pct"/>
                  <w:shd w:val="clear" w:color="auto" w:fill="auto"/>
                  <w:vAlign w:val="center"/>
                </w:tcPr>
                <w:p>
                  <w:pPr>
                    <w:pStyle w:val="77"/>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汽油</w:t>
                  </w:r>
                </w:p>
              </w:tc>
              <w:tc>
                <w:tcPr>
                  <w:tcW w:w="952" w:type="pct"/>
                  <w:shd w:val="clear" w:color="auto" w:fill="auto"/>
                  <w:vAlign w:val="center"/>
                </w:tcPr>
                <w:p>
                  <w:pPr>
                    <w:keepNext w:val="0"/>
                    <w:keepLines w:val="0"/>
                    <w:pageBreakBefore w:val="0"/>
                    <w:widowControl/>
                    <w:kinsoku/>
                    <w:wordWrap/>
                    <w:overflowPunct/>
                    <w:topLinePunct w:val="0"/>
                    <w:autoSpaceDE/>
                    <w:autoSpaceDN/>
                    <w:bidi w:val="0"/>
                    <w:snapToGrid w:val="0"/>
                    <w:jc w:val="center"/>
                    <w:textAlignment w:val="auto"/>
                    <w:rPr>
                      <w:rFonts w:hint="default"/>
                      <w:color w:val="auto"/>
                      <w:kern w:val="0"/>
                      <w:szCs w:val="21"/>
                      <w:lang w:val="en-US" w:eastAsia="zh-CN" w:bidi="ar"/>
                    </w:rPr>
                  </w:pPr>
                  <w:r>
                    <w:rPr>
                      <w:rFonts w:hint="eastAsia"/>
                      <w:color w:val="auto"/>
                      <w:kern w:val="0"/>
                      <w:szCs w:val="21"/>
                      <w:lang w:val="en-US" w:eastAsia="zh-CN" w:bidi="ar"/>
                    </w:rPr>
                    <w:t>2000t/a</w:t>
                  </w:r>
                </w:p>
              </w:tc>
              <w:tc>
                <w:tcPr>
                  <w:tcW w:w="875" w:type="pct"/>
                  <w:shd w:val="clear" w:color="auto" w:fill="auto"/>
                  <w:vAlign w:val="center"/>
                </w:tcPr>
                <w:p>
                  <w:pPr>
                    <w:keepNext w:val="0"/>
                    <w:keepLines w:val="0"/>
                    <w:pageBreakBefore w:val="0"/>
                    <w:widowControl/>
                    <w:kinsoku/>
                    <w:wordWrap/>
                    <w:overflowPunct/>
                    <w:topLinePunct w:val="0"/>
                    <w:autoSpaceDE/>
                    <w:autoSpaceDN/>
                    <w:bidi w:val="0"/>
                    <w:snapToGrid w:val="0"/>
                    <w:jc w:val="center"/>
                    <w:textAlignment w:val="auto"/>
                    <w:rPr>
                      <w:rFonts w:hint="default"/>
                      <w:color w:val="auto"/>
                      <w:kern w:val="0"/>
                      <w:szCs w:val="21"/>
                      <w:lang w:val="en-US" w:bidi="ar"/>
                    </w:rPr>
                  </w:pPr>
                  <w:r>
                    <w:rPr>
                      <w:rFonts w:hint="eastAsia"/>
                      <w:color w:val="auto"/>
                      <w:kern w:val="0"/>
                      <w:szCs w:val="21"/>
                      <w:lang w:val="en-US" w:eastAsia="zh-CN" w:bidi="ar"/>
                    </w:rPr>
                    <w:t>100m</w:t>
                  </w:r>
                  <w:r>
                    <w:rPr>
                      <w:rFonts w:hint="eastAsia"/>
                      <w:color w:val="auto"/>
                      <w:kern w:val="0"/>
                      <w:szCs w:val="21"/>
                      <w:vertAlign w:val="superscript"/>
                      <w:lang w:val="en-US" w:eastAsia="zh-CN" w:bidi="ar"/>
                    </w:rPr>
                    <w:t>3</w:t>
                  </w:r>
                </w:p>
              </w:tc>
              <w:tc>
                <w:tcPr>
                  <w:tcW w:w="698" w:type="pct"/>
                  <w:shd w:val="clear" w:color="auto" w:fill="auto"/>
                  <w:vAlign w:val="center"/>
                </w:tcPr>
                <w:p>
                  <w:pPr>
                    <w:keepNext w:val="0"/>
                    <w:keepLines w:val="0"/>
                    <w:pageBreakBefore w:val="0"/>
                    <w:widowControl/>
                    <w:kinsoku/>
                    <w:wordWrap/>
                    <w:overflowPunct/>
                    <w:topLinePunct w:val="0"/>
                    <w:autoSpaceDE/>
                    <w:autoSpaceDN/>
                    <w:bidi w:val="0"/>
                    <w:snapToGrid w:val="0"/>
                    <w:jc w:val="center"/>
                    <w:textAlignment w:val="auto"/>
                    <w:rPr>
                      <w:color w:val="auto"/>
                      <w:kern w:val="0"/>
                      <w:szCs w:val="21"/>
                    </w:rPr>
                  </w:pPr>
                  <w:r>
                    <w:rPr>
                      <w:rFonts w:hint="eastAsia"/>
                      <w:color w:val="auto"/>
                      <w:kern w:val="0"/>
                      <w:szCs w:val="21"/>
                      <w:lang w:val="en-US" w:eastAsia="zh-CN"/>
                    </w:rPr>
                    <w:t>零售商品</w:t>
                  </w:r>
                </w:p>
              </w:tc>
              <w:tc>
                <w:tcPr>
                  <w:tcW w:w="822" w:type="pct"/>
                  <w:shd w:val="clear" w:color="auto" w:fill="auto"/>
                  <w:vAlign w:val="center"/>
                </w:tcPr>
                <w:p>
                  <w:pPr>
                    <w:keepNext w:val="0"/>
                    <w:keepLines w:val="0"/>
                    <w:pageBreakBefore w:val="0"/>
                    <w:widowControl/>
                    <w:kinsoku/>
                    <w:wordWrap/>
                    <w:overflowPunct/>
                    <w:topLinePunct w:val="0"/>
                    <w:autoSpaceDE/>
                    <w:autoSpaceDN/>
                    <w:bidi w:val="0"/>
                    <w:snapToGrid w:val="0"/>
                    <w:jc w:val="center"/>
                    <w:textAlignment w:val="auto"/>
                    <w:rPr>
                      <w:rFonts w:hint="eastAsia" w:eastAsia="宋体"/>
                      <w:color w:val="auto"/>
                      <w:kern w:val="0"/>
                      <w:szCs w:val="21"/>
                      <w:lang w:eastAsia="zh-CN"/>
                    </w:rPr>
                  </w:pPr>
                  <w:r>
                    <w:rPr>
                      <w:rFonts w:hint="eastAsia"/>
                      <w:color w:val="auto"/>
                      <w:kern w:val="0"/>
                      <w:szCs w:val="21"/>
                      <w:lang w:val="en-US" w:eastAsia="zh-CN"/>
                    </w:rPr>
                    <w:t>SF双层储罐</w:t>
                  </w:r>
                </w:p>
              </w:tc>
              <w:tc>
                <w:tcPr>
                  <w:tcW w:w="735" w:type="pct"/>
                  <w:shd w:val="clear" w:color="auto" w:fill="auto"/>
                  <w:vAlign w:val="center"/>
                </w:tcPr>
                <w:p>
                  <w:pPr>
                    <w:keepNext w:val="0"/>
                    <w:keepLines w:val="0"/>
                    <w:pageBreakBefore w:val="0"/>
                    <w:widowControl/>
                    <w:suppressLineNumbers w:val="0"/>
                    <w:kinsoku/>
                    <w:wordWrap/>
                    <w:overflowPunct/>
                    <w:topLinePunct w:val="0"/>
                    <w:autoSpaceDE/>
                    <w:autoSpaceDN/>
                    <w:bidi w:val="0"/>
                    <w:snapToGrid w:val="0"/>
                    <w:jc w:val="center"/>
                    <w:textAlignment w:val="auto"/>
                    <w:rPr>
                      <w:color w:val="auto"/>
                      <w:kern w:val="0"/>
                      <w:sz w:val="21"/>
                      <w:szCs w:val="21"/>
                    </w:rPr>
                  </w:pPr>
                  <w:r>
                    <w:rPr>
                      <w:rFonts w:hint="eastAsia" w:ascii="宋体" w:hAnsi="宋体" w:eastAsia="宋体" w:cs="宋体"/>
                      <w:color w:val="auto"/>
                      <w:kern w:val="0"/>
                      <w:sz w:val="21"/>
                      <w:szCs w:val="21"/>
                      <w:lang w:val="en-US" w:eastAsia="zh-CN" w:bidi="ar"/>
                    </w:rPr>
                    <w:t>由槽车输送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15" w:type="pct"/>
                  <w:shd w:val="clear" w:color="auto" w:fill="auto"/>
                  <w:vAlign w:val="center"/>
                </w:tcPr>
                <w:p>
                  <w:pPr>
                    <w:pStyle w:val="77"/>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18"/>
                      <w:szCs w:val="18"/>
                      <w:lang w:val="en-US" w:eastAsia="zh-CN" w:bidi="ar"/>
                    </w:rPr>
                  </w:pPr>
                  <w:r>
                    <w:rPr>
                      <w:rFonts w:hint="eastAsia" w:ascii="Times New Roman" w:hAnsi="Times New Roman"/>
                      <w:color w:val="auto"/>
                      <w:sz w:val="21"/>
                      <w:szCs w:val="21"/>
                      <w:lang w:val="en-US" w:eastAsia="zh-CN" w:bidi="ar"/>
                    </w:rPr>
                    <w:t>柴油</w:t>
                  </w:r>
                </w:p>
              </w:tc>
              <w:tc>
                <w:tcPr>
                  <w:tcW w:w="952" w:type="pct"/>
                  <w:shd w:val="clear" w:color="auto" w:fill="auto"/>
                  <w:vAlign w:val="center"/>
                </w:tcPr>
                <w:p>
                  <w:pPr>
                    <w:keepNext w:val="0"/>
                    <w:keepLines w:val="0"/>
                    <w:pageBreakBefore w:val="0"/>
                    <w:widowControl/>
                    <w:kinsoku/>
                    <w:wordWrap/>
                    <w:overflowPunct/>
                    <w:topLinePunct w:val="0"/>
                    <w:autoSpaceDE/>
                    <w:autoSpaceDN/>
                    <w:bidi w:val="0"/>
                    <w:snapToGrid w:val="0"/>
                    <w:jc w:val="center"/>
                    <w:textAlignment w:val="auto"/>
                    <w:rPr>
                      <w:rFonts w:hint="default" w:eastAsia="宋体"/>
                      <w:color w:val="auto"/>
                      <w:kern w:val="0"/>
                      <w:szCs w:val="21"/>
                      <w:lang w:val="en-US" w:eastAsia="zh-CN" w:bidi="ar"/>
                    </w:rPr>
                  </w:pPr>
                  <w:r>
                    <w:rPr>
                      <w:rFonts w:hint="eastAsia"/>
                      <w:color w:val="auto"/>
                      <w:kern w:val="0"/>
                      <w:szCs w:val="21"/>
                      <w:lang w:val="en-US" w:eastAsia="zh-CN" w:bidi="ar"/>
                    </w:rPr>
                    <w:t>2000t/a</w:t>
                  </w:r>
                </w:p>
              </w:tc>
              <w:tc>
                <w:tcPr>
                  <w:tcW w:w="875" w:type="pct"/>
                  <w:shd w:val="clear" w:color="auto" w:fill="auto"/>
                  <w:vAlign w:val="center"/>
                </w:tcPr>
                <w:p>
                  <w:pPr>
                    <w:keepNext w:val="0"/>
                    <w:keepLines w:val="0"/>
                    <w:pageBreakBefore w:val="0"/>
                    <w:widowControl/>
                    <w:kinsoku/>
                    <w:wordWrap/>
                    <w:overflowPunct/>
                    <w:topLinePunct w:val="0"/>
                    <w:autoSpaceDE/>
                    <w:autoSpaceDN/>
                    <w:bidi w:val="0"/>
                    <w:snapToGrid w:val="0"/>
                    <w:jc w:val="center"/>
                    <w:textAlignment w:val="auto"/>
                    <w:rPr>
                      <w:color w:val="auto"/>
                      <w:kern w:val="0"/>
                      <w:szCs w:val="21"/>
                      <w:lang w:bidi="ar"/>
                    </w:rPr>
                  </w:pPr>
                  <w:r>
                    <w:rPr>
                      <w:rFonts w:hint="eastAsia"/>
                      <w:color w:val="auto"/>
                      <w:kern w:val="0"/>
                      <w:szCs w:val="21"/>
                      <w:lang w:val="en-US" w:eastAsia="zh-CN" w:bidi="ar"/>
                    </w:rPr>
                    <w:t>100m</w:t>
                  </w:r>
                  <w:r>
                    <w:rPr>
                      <w:rFonts w:hint="eastAsia"/>
                      <w:color w:val="auto"/>
                      <w:kern w:val="0"/>
                      <w:szCs w:val="21"/>
                      <w:vertAlign w:val="superscript"/>
                      <w:lang w:val="en-US" w:eastAsia="zh-CN" w:bidi="ar"/>
                    </w:rPr>
                    <w:t>3</w:t>
                  </w:r>
                </w:p>
              </w:tc>
              <w:tc>
                <w:tcPr>
                  <w:tcW w:w="698" w:type="pct"/>
                  <w:shd w:val="clear" w:color="auto" w:fill="auto"/>
                  <w:vAlign w:val="center"/>
                </w:tcPr>
                <w:p>
                  <w:pPr>
                    <w:keepNext w:val="0"/>
                    <w:keepLines w:val="0"/>
                    <w:pageBreakBefore w:val="0"/>
                    <w:widowControl/>
                    <w:kinsoku/>
                    <w:wordWrap/>
                    <w:overflowPunct/>
                    <w:topLinePunct w:val="0"/>
                    <w:autoSpaceDE/>
                    <w:autoSpaceDN/>
                    <w:bidi w:val="0"/>
                    <w:snapToGrid w:val="0"/>
                    <w:jc w:val="center"/>
                    <w:textAlignment w:val="auto"/>
                    <w:rPr>
                      <w:rFonts w:hint="default" w:eastAsia="宋体"/>
                      <w:color w:val="auto"/>
                      <w:kern w:val="0"/>
                      <w:szCs w:val="21"/>
                      <w:lang w:val="en-US" w:eastAsia="zh-CN"/>
                    </w:rPr>
                  </w:pPr>
                  <w:r>
                    <w:rPr>
                      <w:rFonts w:hint="eastAsia"/>
                      <w:color w:val="auto"/>
                      <w:kern w:val="0"/>
                      <w:szCs w:val="21"/>
                      <w:lang w:val="en-US" w:eastAsia="zh-CN"/>
                    </w:rPr>
                    <w:t>零售商品</w:t>
                  </w:r>
                </w:p>
              </w:tc>
              <w:tc>
                <w:tcPr>
                  <w:tcW w:w="822" w:type="pct"/>
                  <w:shd w:val="clear" w:color="auto" w:fill="auto"/>
                  <w:vAlign w:val="center"/>
                </w:tcPr>
                <w:p>
                  <w:pPr>
                    <w:keepNext w:val="0"/>
                    <w:keepLines w:val="0"/>
                    <w:pageBreakBefore w:val="0"/>
                    <w:widowControl/>
                    <w:kinsoku/>
                    <w:wordWrap/>
                    <w:overflowPunct/>
                    <w:topLinePunct w:val="0"/>
                    <w:autoSpaceDE/>
                    <w:autoSpaceDN/>
                    <w:bidi w:val="0"/>
                    <w:snapToGrid w:val="0"/>
                    <w:jc w:val="center"/>
                    <w:textAlignment w:val="auto"/>
                    <w:rPr>
                      <w:rFonts w:hint="default" w:eastAsia="宋体"/>
                      <w:color w:val="auto"/>
                      <w:kern w:val="0"/>
                      <w:szCs w:val="21"/>
                      <w:lang w:val="en-US" w:eastAsia="zh-CN"/>
                    </w:rPr>
                  </w:pPr>
                  <w:r>
                    <w:rPr>
                      <w:rFonts w:hint="eastAsia"/>
                      <w:color w:val="auto"/>
                      <w:kern w:val="0"/>
                      <w:szCs w:val="21"/>
                      <w:lang w:val="en-US" w:eastAsia="zh-CN"/>
                    </w:rPr>
                    <w:t>SF双层储罐</w:t>
                  </w:r>
                </w:p>
              </w:tc>
              <w:tc>
                <w:tcPr>
                  <w:tcW w:w="735" w:type="pct"/>
                  <w:shd w:val="clear" w:color="auto" w:fill="auto"/>
                  <w:vAlign w:val="center"/>
                </w:tcPr>
                <w:p>
                  <w:pPr>
                    <w:keepNext w:val="0"/>
                    <w:keepLines w:val="0"/>
                    <w:pageBreakBefore w:val="0"/>
                    <w:widowControl/>
                    <w:suppressLineNumbers w:val="0"/>
                    <w:kinsoku/>
                    <w:wordWrap/>
                    <w:overflowPunct/>
                    <w:topLinePunct w:val="0"/>
                    <w:autoSpaceDE/>
                    <w:autoSpaceDN/>
                    <w:bidi w:val="0"/>
                    <w:snapToGrid w:val="0"/>
                    <w:jc w:val="center"/>
                    <w:textAlignment w:val="auto"/>
                    <w:rPr>
                      <w:color w:val="auto"/>
                      <w:kern w:val="0"/>
                      <w:sz w:val="21"/>
                      <w:szCs w:val="21"/>
                      <w:lang w:bidi="ar"/>
                    </w:rPr>
                  </w:pPr>
                  <w:r>
                    <w:rPr>
                      <w:rFonts w:hint="eastAsia" w:ascii="宋体" w:hAnsi="宋体" w:eastAsia="宋体" w:cs="宋体"/>
                      <w:color w:val="auto"/>
                      <w:kern w:val="0"/>
                      <w:sz w:val="21"/>
                      <w:szCs w:val="21"/>
                      <w:lang w:val="en-US" w:eastAsia="zh-CN" w:bidi="ar"/>
                    </w:rPr>
                    <w:t>由槽车输送</w:t>
                  </w:r>
                </w:p>
              </w:tc>
            </w:tr>
          </w:tbl>
          <w:p>
            <w:pPr>
              <w:pStyle w:val="43"/>
              <w:ind w:firstLine="512" w:firstLineChars="200"/>
              <w:rPr>
                <w:rFonts w:ascii="Times New Roman" w:hAnsi="Times New Roman"/>
                <w:color w:val="auto"/>
                <w:sz w:val="24"/>
                <w:szCs w:val="24"/>
                <w:lang w:bidi="ar"/>
              </w:rPr>
            </w:pPr>
            <w:r>
              <w:rPr>
                <w:rFonts w:hint="eastAsia"/>
                <w:color w:val="auto"/>
                <w:sz w:val="24"/>
                <w:szCs w:val="24"/>
                <w:lang w:val="en-US" w:eastAsia="zh-CN" w:bidi="ar"/>
              </w:rPr>
              <w:t>汽油理化性质：</w:t>
            </w:r>
            <w:r>
              <w:rPr>
                <w:rFonts w:ascii="Times New Roman" w:hAnsi="Times New Roman"/>
                <w:color w:val="auto"/>
                <w:sz w:val="24"/>
                <w:szCs w:val="24"/>
                <w:lang w:bidi="ar"/>
              </w:rPr>
              <w:t>分子式：C</w:t>
            </w:r>
            <w:r>
              <w:rPr>
                <w:rFonts w:ascii="Times New Roman" w:hAnsi="Times New Roman"/>
                <w:color w:val="auto"/>
                <w:sz w:val="24"/>
                <w:szCs w:val="24"/>
                <w:vertAlign w:val="subscript"/>
                <w:lang w:bidi="ar"/>
              </w:rPr>
              <w:t>4</w:t>
            </w:r>
            <w:r>
              <w:rPr>
                <w:rFonts w:ascii="Times New Roman" w:hAnsi="Times New Roman"/>
                <w:color w:val="auto"/>
                <w:sz w:val="24"/>
                <w:szCs w:val="24"/>
                <w:lang w:bidi="ar"/>
              </w:rPr>
              <w:t>H</w:t>
            </w:r>
            <w:r>
              <w:rPr>
                <w:rFonts w:ascii="Times New Roman" w:hAnsi="Times New Roman"/>
                <w:color w:val="auto"/>
                <w:sz w:val="24"/>
                <w:szCs w:val="24"/>
                <w:vertAlign w:val="subscript"/>
                <w:lang w:bidi="ar"/>
              </w:rPr>
              <w:t>10</w:t>
            </w:r>
            <w:r>
              <w:rPr>
                <w:rFonts w:ascii="Times New Roman" w:hAnsi="Times New Roman"/>
                <w:color w:val="auto"/>
                <w:sz w:val="24"/>
                <w:szCs w:val="24"/>
                <w:lang w:bidi="ar"/>
              </w:rPr>
              <w:t>–C</w:t>
            </w:r>
            <w:r>
              <w:rPr>
                <w:rFonts w:ascii="Times New Roman" w:hAnsi="Times New Roman"/>
                <w:color w:val="auto"/>
                <w:sz w:val="24"/>
                <w:szCs w:val="24"/>
                <w:vertAlign w:val="subscript"/>
                <w:lang w:bidi="ar"/>
              </w:rPr>
              <w:t>12</w:t>
            </w:r>
            <w:r>
              <w:rPr>
                <w:rFonts w:ascii="Times New Roman" w:hAnsi="Times New Roman"/>
                <w:color w:val="auto"/>
                <w:sz w:val="24"/>
                <w:szCs w:val="24"/>
                <w:lang w:bidi="ar"/>
              </w:rPr>
              <w:t>H</w:t>
            </w:r>
            <w:r>
              <w:rPr>
                <w:rFonts w:ascii="Times New Roman" w:hAnsi="Times New Roman"/>
                <w:color w:val="auto"/>
                <w:sz w:val="24"/>
                <w:szCs w:val="24"/>
                <w:vertAlign w:val="subscript"/>
                <w:lang w:bidi="ar"/>
              </w:rPr>
              <w:t>26</w:t>
            </w:r>
            <w:r>
              <w:rPr>
                <w:rFonts w:ascii="Times New Roman" w:hAnsi="Times New Roman"/>
                <w:color w:val="auto"/>
                <w:sz w:val="24"/>
                <w:szCs w:val="24"/>
                <w:lang w:bidi="ar"/>
              </w:rPr>
              <w:t>，沸点</w:t>
            </w:r>
            <w:r>
              <w:rPr>
                <w:rFonts w:hint="default" w:ascii="Times New Roman" w:hAnsi="Times New Roman" w:cs="Times New Roman"/>
                <w:color w:val="auto"/>
                <w:sz w:val="24"/>
                <w:szCs w:val="24"/>
                <w:lang w:eastAsia="zh-CN" w:bidi="ar"/>
              </w:rPr>
              <w:t>（</w:t>
            </w:r>
            <w:r>
              <w:rPr>
                <w:rFonts w:hint="default" w:ascii="Times New Roman" w:hAnsi="Times New Roman" w:cs="Times New Roman"/>
                <w:color w:val="auto"/>
                <w:sz w:val="24"/>
                <w:szCs w:val="24"/>
                <w:lang w:bidi="ar"/>
              </w:rPr>
              <w:t>℃</w:t>
            </w:r>
            <w:r>
              <w:rPr>
                <w:rFonts w:hint="default" w:ascii="Times New Roman" w:hAnsi="Times New Roman" w:cs="Times New Roman"/>
                <w:color w:val="auto"/>
                <w:sz w:val="24"/>
                <w:szCs w:val="24"/>
                <w:lang w:eastAsia="zh-CN" w:bidi="ar"/>
              </w:rPr>
              <w:t>）</w:t>
            </w:r>
            <w:r>
              <w:rPr>
                <w:rFonts w:ascii="Times New Roman" w:hAnsi="Times New Roman"/>
                <w:color w:val="auto"/>
                <w:sz w:val="24"/>
                <w:szCs w:val="24"/>
                <w:lang w:bidi="ar"/>
              </w:rPr>
              <w:t>：38-204℃，闪点：&lt;23℃，相对密度（水＝1）：0.70～0.79，相对密度（空气=1）：3.5。无色或淡黄色易挥发液体，具有特殊臭味。不溶于水、易溶于苯、二硫化碳、醇、易溶于脂肪。爆炸极限为1.0%～6%。</w:t>
            </w:r>
          </w:p>
          <w:p>
            <w:pPr>
              <w:ind w:firstLine="512" w:firstLineChars="200"/>
              <w:rPr>
                <w:rFonts w:hint="default" w:eastAsia="宋体"/>
                <w:color w:val="auto"/>
                <w:lang w:val="en-US" w:eastAsia="zh-CN"/>
              </w:rPr>
            </w:pPr>
            <w:r>
              <w:rPr>
                <w:rFonts w:hint="eastAsia"/>
                <w:color w:val="auto"/>
                <w:sz w:val="24"/>
                <w:szCs w:val="24"/>
                <w:lang w:val="en-US" w:eastAsia="zh-CN" w:bidi="ar"/>
              </w:rPr>
              <w:t>柴油理化性质：</w:t>
            </w:r>
            <w:r>
              <w:rPr>
                <w:rFonts w:ascii="Times New Roman" w:hAnsi="Times New Roman"/>
                <w:color w:val="auto"/>
                <w:sz w:val="24"/>
                <w:szCs w:val="24"/>
                <w:lang w:bidi="ar"/>
              </w:rPr>
              <w:t>分子式：C</w:t>
            </w:r>
            <w:r>
              <w:rPr>
                <w:rFonts w:ascii="Times New Roman" w:hAnsi="Times New Roman"/>
                <w:color w:val="auto"/>
                <w:sz w:val="24"/>
                <w:szCs w:val="24"/>
                <w:vertAlign w:val="subscript"/>
                <w:lang w:bidi="ar"/>
              </w:rPr>
              <w:t>4</w:t>
            </w:r>
            <w:r>
              <w:rPr>
                <w:rFonts w:ascii="Times New Roman" w:hAnsi="Times New Roman"/>
                <w:color w:val="auto"/>
                <w:sz w:val="24"/>
                <w:szCs w:val="24"/>
                <w:lang w:bidi="ar"/>
              </w:rPr>
              <w:t>H</w:t>
            </w:r>
            <w:r>
              <w:rPr>
                <w:rFonts w:ascii="Times New Roman" w:hAnsi="Times New Roman"/>
                <w:color w:val="auto"/>
                <w:sz w:val="24"/>
                <w:szCs w:val="24"/>
                <w:vertAlign w:val="subscript"/>
                <w:lang w:bidi="ar"/>
              </w:rPr>
              <w:t>10</w:t>
            </w:r>
            <w:r>
              <w:rPr>
                <w:rFonts w:ascii="Times New Roman" w:hAnsi="Times New Roman"/>
                <w:color w:val="auto"/>
                <w:sz w:val="24"/>
                <w:szCs w:val="24"/>
                <w:lang w:bidi="ar"/>
              </w:rPr>
              <w:t>~C</w:t>
            </w:r>
            <w:r>
              <w:rPr>
                <w:rFonts w:ascii="Times New Roman" w:hAnsi="Times New Roman"/>
                <w:color w:val="auto"/>
                <w:sz w:val="24"/>
                <w:szCs w:val="24"/>
                <w:vertAlign w:val="subscript"/>
                <w:lang w:bidi="ar"/>
              </w:rPr>
              <w:t>12</w:t>
            </w:r>
            <w:r>
              <w:rPr>
                <w:rFonts w:ascii="Times New Roman" w:hAnsi="Times New Roman"/>
                <w:color w:val="auto"/>
                <w:sz w:val="24"/>
                <w:szCs w:val="24"/>
                <w:lang w:bidi="ar"/>
              </w:rPr>
              <w:t>H</w:t>
            </w:r>
            <w:r>
              <w:rPr>
                <w:rFonts w:ascii="Times New Roman" w:hAnsi="Times New Roman"/>
                <w:color w:val="auto"/>
                <w:sz w:val="24"/>
                <w:szCs w:val="24"/>
                <w:vertAlign w:val="subscript"/>
                <w:lang w:bidi="ar"/>
              </w:rPr>
              <w:t>26</w:t>
            </w:r>
            <w:r>
              <w:rPr>
                <w:rFonts w:ascii="Times New Roman" w:hAnsi="Times New Roman"/>
                <w:color w:val="auto"/>
                <w:sz w:val="24"/>
                <w:szCs w:val="24"/>
                <w:lang w:bidi="ar"/>
              </w:rPr>
              <w:t>，沸点：200～350℃，闪点：45～55℃，相对密度（水＝1）：0.87～0.90。稍有粘性的棕色液体。不溶于水，易溶于苯、二硫化碳、醇，易溶于脂肪。爆炸极限为0.5%～4.1%。</w:t>
            </w:r>
          </w:p>
          <w:p>
            <w:pPr>
              <w:pStyle w:val="43"/>
              <w:ind w:firstLine="0" w:firstLineChars="0"/>
              <w:rPr>
                <w:rFonts w:hint="eastAsia" w:eastAsia="黑体"/>
                <w:color w:val="auto"/>
                <w:lang w:val="en-US" w:eastAsia="zh-CN"/>
              </w:rPr>
            </w:pPr>
            <w:r>
              <w:rPr>
                <w:rFonts w:hint="eastAsia" w:eastAsia="黑体"/>
                <w:color w:val="auto"/>
                <w:lang w:val="en-US" w:eastAsia="zh-CN"/>
              </w:rPr>
              <w:t>4汽油主要质量指标</w:t>
            </w:r>
          </w:p>
          <w:p>
            <w:pPr>
              <w:keepNext w:val="0"/>
              <w:keepLines w:val="0"/>
              <w:pageBreakBefore w:val="0"/>
              <w:widowControl/>
              <w:suppressLineNumbers w:val="0"/>
              <w:kinsoku/>
              <w:wordWrap/>
              <w:overflowPunct/>
              <w:topLinePunct w:val="0"/>
              <w:autoSpaceDE/>
              <w:autoSpaceDN/>
              <w:bidi w:val="0"/>
              <w:adjustRightInd/>
              <w:snapToGrid/>
              <w:ind w:firstLine="512"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项目油品外购，汽油为92#、95#，柴油按季节销售，主要标号为0号、-10号。汽、柴油质量满足GB17930-2013《车用汽油》国Ⅴ标准、GB19147-2013《车用柴油》国Ⅳ标准，油品质量指标见表2-</w:t>
            </w:r>
            <w:r>
              <w:rPr>
                <w:rFonts w:hint="eastAsia"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表</w:t>
            </w:r>
            <w:r>
              <w:rPr>
                <w:rFonts w:hint="default" w:ascii="Times New Roman" w:hAnsi="Times New Roman" w:eastAsia="宋体" w:cs="Times New Roman"/>
                <w:color w:val="auto"/>
                <w:kern w:val="0"/>
                <w:sz w:val="24"/>
                <w:szCs w:val="24"/>
                <w:lang w:val="en-US" w:eastAsia="zh-CN" w:bidi="ar"/>
              </w:rPr>
              <w:t>2-</w:t>
            </w:r>
            <w:r>
              <w:rPr>
                <w:rFonts w:hint="eastAsia"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color w:val="auto"/>
                <w:kern w:val="0"/>
                <w:sz w:val="24"/>
                <w:szCs w:val="24"/>
                <w:lang w:val="en-US" w:eastAsia="zh-CN" w:bidi="ar"/>
              </w:rPr>
            </w:pPr>
            <w:r>
              <w:rPr>
                <w:rFonts w:hint="default" w:ascii="Times New Roman" w:hAnsi="Times New Roman" w:eastAsia="黑体" w:cs="Times New Roman"/>
                <w:color w:val="auto"/>
                <w:kern w:val="0"/>
                <w:sz w:val="24"/>
                <w:szCs w:val="24"/>
                <w:lang w:val="en-US" w:eastAsia="zh-CN" w:bidi="ar"/>
              </w:rPr>
              <w:t>表2-</w:t>
            </w:r>
            <w:r>
              <w:rPr>
                <w:rFonts w:hint="eastAsia" w:eastAsia="黑体" w:cs="Times New Roman"/>
                <w:color w:val="auto"/>
                <w:kern w:val="0"/>
                <w:sz w:val="24"/>
                <w:szCs w:val="24"/>
                <w:lang w:val="en-US" w:eastAsia="zh-CN" w:bidi="ar"/>
              </w:rPr>
              <w:t>4</w:t>
            </w:r>
            <w:r>
              <w:rPr>
                <w:rFonts w:hint="default" w:ascii="Times New Roman" w:hAnsi="Times New Roman" w:eastAsia="黑体" w:cs="Times New Roman"/>
                <w:color w:val="auto"/>
                <w:kern w:val="0"/>
                <w:sz w:val="24"/>
                <w:szCs w:val="24"/>
                <w:lang w:val="en-US" w:eastAsia="zh-CN" w:bidi="ar"/>
              </w:rPr>
              <w:t xml:space="preserve">  车用汽油(Ⅴ)主要质量指标</w:t>
            </w:r>
          </w:p>
          <w:tbl>
            <w:tblPr>
              <w:tblStyle w:val="27"/>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1"/>
              <w:gridCol w:w="904"/>
              <w:gridCol w:w="1175"/>
              <w:gridCol w:w="1255"/>
              <w:gridCol w:w="983"/>
              <w:gridCol w:w="1162"/>
              <w:gridCol w:w="1225"/>
              <w:gridCol w:w="10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11" w:type="dxa"/>
                  <w:vMerge w:val="restart"/>
                  <w:tcBorders>
                    <w:tl2br w:val="nil"/>
                    <w:tr2bl w:val="nil"/>
                  </w:tcBorders>
                  <w:vAlign w:val="center"/>
                  <mc:AlternateContent>
                    <mc:Choice Requires="wpsCustomData">
                      <wpsCustomData:diagonals>
                        <wpsCustomData:diagonal from="10000" to="30000">
                          <wpsCustomData:border w:val="single" w:color="auto" w:sz="12"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color w:val="auto"/>
                      <w:sz w:val="20"/>
                      <w:szCs w:val="20"/>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mc:AlternateContent>
                      <mc:Choice Requires="wpsCustomData">
                        <wpsCustomData:diagonalParaType/>
                      </mc:Choice>
                    </mc:AlternateContent>
                    <w:rPr>
                      <w:rFonts w:hint="default" w:eastAsia="宋体"/>
                      <w:color w:val="auto"/>
                      <w:sz w:val="20"/>
                      <w:szCs w:val="20"/>
                      <w:vertAlign w:val="baseline"/>
                      <w:lang w:val="en-US" w:eastAsia="zh-CN"/>
                    </w:rPr>
                  </w:pPr>
                  <w:r>
                    <w:rPr>
                      <w:rFonts w:hint="eastAsia"/>
                      <w:color w:val="auto"/>
                      <w:sz w:val="20"/>
                      <w:szCs w:val="20"/>
                      <w:vertAlign w:val="baseline"/>
                      <w:lang w:val="en-US" w:eastAsia="zh-CN"/>
                    </w:rPr>
                    <w:t>标号</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eastAsia="宋体"/>
                      <w:color w:val="auto"/>
                      <w:sz w:val="20"/>
                      <w:szCs w:val="20"/>
                      <w:vertAlign w:val="baseline"/>
                      <w:lang w:val="en-US" w:eastAsia="zh-CN"/>
                    </w:rPr>
                  </w:pPr>
                  <w:r>
                    <w:rPr>
                      <w:rFonts w:hint="eastAsia"/>
                      <w:color w:val="auto"/>
                      <w:sz w:val="20"/>
                      <w:szCs w:val="20"/>
                      <w:vertAlign w:val="baseline"/>
                      <w:lang w:val="en-US" w:eastAsia="zh-CN"/>
                    </w:rPr>
                    <w:t>项目</w:t>
                  </w:r>
                </w:p>
              </w:tc>
              <w:tc>
                <w:tcPr>
                  <w:tcW w:w="90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宋体"/>
                      <w:color w:val="auto"/>
                      <w:vertAlign w:val="baseline"/>
                      <w:lang w:val="en-US" w:eastAsia="zh-CN"/>
                    </w:rPr>
                  </w:pPr>
                  <w:r>
                    <w:rPr>
                      <w:rFonts w:hint="eastAsia"/>
                      <w:color w:val="auto"/>
                      <w:vertAlign w:val="baseline"/>
                      <w:lang w:val="en-US" w:eastAsia="zh-CN"/>
                    </w:rPr>
                    <w:t>RON</w:t>
                  </w:r>
                </w:p>
              </w:tc>
              <w:tc>
                <w:tcPr>
                  <w:tcW w:w="117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宋体"/>
                      <w:color w:val="auto"/>
                      <w:vertAlign w:val="baseline"/>
                      <w:lang w:val="en-US" w:eastAsia="zh-CN"/>
                    </w:rPr>
                  </w:pPr>
                  <w:r>
                    <w:rPr>
                      <w:rFonts w:hint="eastAsia"/>
                      <w:color w:val="auto"/>
                      <w:vertAlign w:val="baseline"/>
                      <w:lang w:val="en-US" w:eastAsia="zh-CN"/>
                    </w:rPr>
                    <w:t>铅含量g/L</w:t>
                  </w:r>
                </w:p>
              </w:tc>
              <w:tc>
                <w:tcPr>
                  <w:tcW w:w="125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olor w:val="auto"/>
                      <w:vertAlign w:val="baseline"/>
                      <w:lang w:val="en-US" w:eastAsia="zh-CN"/>
                    </w:rPr>
                  </w:pPr>
                  <w:r>
                    <w:rPr>
                      <w:rFonts w:hint="eastAsia"/>
                      <w:color w:val="auto"/>
                      <w:vertAlign w:val="baseline"/>
                      <w:lang w:val="en-US" w:eastAsia="zh-CN"/>
                    </w:rPr>
                    <w:t>硫含量</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mg/kg</w:t>
                  </w:r>
                </w:p>
              </w:tc>
              <w:tc>
                <w:tcPr>
                  <w:tcW w:w="9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color w:val="auto"/>
                      <w:vertAlign w:val="baseline"/>
                      <w:lang w:val="en-US" w:eastAsia="zh-CN"/>
                    </w:rPr>
                  </w:pPr>
                  <w:r>
                    <w:rPr>
                      <w:rFonts w:hint="eastAsia"/>
                      <w:color w:val="auto"/>
                      <w:vertAlign w:val="baseline"/>
                      <w:lang w:val="en-US" w:eastAsia="zh-CN"/>
                    </w:rPr>
                    <w:t>苯含量</w:t>
                  </w:r>
                </w:p>
              </w:tc>
              <w:tc>
                <w:tcPr>
                  <w:tcW w:w="1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宋体"/>
                      <w:color w:val="auto"/>
                      <w:vertAlign w:val="baseline"/>
                      <w:lang w:val="en-US" w:eastAsia="zh-CN"/>
                    </w:rPr>
                  </w:pPr>
                  <w:r>
                    <w:rPr>
                      <w:rFonts w:hint="eastAsia"/>
                      <w:color w:val="auto"/>
                      <w:vertAlign w:val="baseline"/>
                      <w:lang w:val="en-US" w:eastAsia="zh-CN"/>
                    </w:rPr>
                    <w:t>芳烃含量</w:t>
                  </w:r>
                </w:p>
              </w:tc>
              <w:tc>
                <w:tcPr>
                  <w:tcW w:w="12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color w:val="auto"/>
                      <w:vertAlign w:val="baseline"/>
                      <w:lang w:val="en-US" w:eastAsia="zh-CN"/>
                    </w:rPr>
                  </w:pPr>
                  <w:r>
                    <w:rPr>
                      <w:rFonts w:hint="eastAsia"/>
                      <w:color w:val="auto"/>
                      <w:vertAlign w:val="baseline"/>
                      <w:lang w:val="en-US" w:eastAsia="zh-CN"/>
                    </w:rPr>
                    <w:t>烯烃含量</w:t>
                  </w:r>
                </w:p>
              </w:tc>
              <w:tc>
                <w:tcPr>
                  <w:tcW w:w="10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color w:val="auto"/>
                      <w:vertAlign w:val="baseline"/>
                      <w:lang w:val="en-US" w:eastAsia="zh-CN"/>
                    </w:rPr>
                  </w:pPr>
                  <w:r>
                    <w:rPr>
                      <w:rFonts w:hint="eastAsia"/>
                      <w:color w:val="auto"/>
                      <w:vertAlign w:val="baseline"/>
                      <w:lang w:val="en-US" w:eastAsia="zh-CN"/>
                    </w:rPr>
                    <w:t>氧含量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1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vertAlign w:val="baseline"/>
                    </w:rPr>
                  </w:pPr>
                </w:p>
              </w:tc>
              <w:tc>
                <w:tcPr>
                  <w:tcW w:w="90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vertAlign w:val="baseline"/>
                    </w:rPr>
                  </w:pPr>
                </w:p>
              </w:tc>
              <w:tc>
                <w:tcPr>
                  <w:tcW w:w="11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vertAlign w:val="baseline"/>
                    </w:rPr>
                  </w:pPr>
                </w:p>
              </w:tc>
              <w:tc>
                <w:tcPr>
                  <w:tcW w:w="125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vertAlign w:val="baseline"/>
                    </w:rPr>
                  </w:pPr>
                </w:p>
              </w:tc>
              <w:tc>
                <w:tcPr>
                  <w:tcW w:w="4450"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宋体"/>
                      <w:color w:val="auto"/>
                      <w:vertAlign w:val="baseline"/>
                      <w:lang w:val="en-US" w:eastAsia="zh-CN"/>
                    </w:rPr>
                  </w:pPr>
                  <w:r>
                    <w:rPr>
                      <w:rFonts w:hint="eastAsia"/>
                      <w:color w:val="auto"/>
                      <w:vertAlign w:val="baseline"/>
                      <w:lang w:val="en-US" w:eastAsia="zh-CN"/>
                    </w:rPr>
                    <w:t>体积分数%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宋体"/>
                      <w:color w:val="auto"/>
                      <w:vertAlign w:val="baseline"/>
                      <w:lang w:val="en-US" w:eastAsia="zh-CN"/>
                    </w:rPr>
                  </w:pPr>
                  <w:r>
                    <w:rPr>
                      <w:rFonts w:hint="eastAsia"/>
                      <w:color w:val="auto"/>
                      <w:vertAlign w:val="baseline"/>
                      <w:lang w:val="en-US" w:eastAsia="zh-CN"/>
                    </w:rPr>
                    <w:t>92#</w:t>
                  </w:r>
                </w:p>
              </w:tc>
              <w:tc>
                <w:tcPr>
                  <w:tcW w:w="9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szCs w:val="21"/>
                    </w:rPr>
                    <w:t>≥</w:t>
                  </w:r>
                  <w:r>
                    <w:rPr>
                      <w:rFonts w:hint="default" w:ascii="Times New Roman" w:hAnsi="Times New Roman" w:eastAsia="宋体" w:cs="Times New Roman"/>
                      <w:color w:val="auto"/>
                      <w:vertAlign w:val="baseline"/>
                      <w:lang w:val="en-US" w:eastAsia="zh-CN"/>
                    </w:rPr>
                    <w:t>92</w:t>
                  </w:r>
                </w:p>
              </w:tc>
              <w:tc>
                <w:tcPr>
                  <w:tcW w:w="11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szCs w:val="21"/>
                    </w:rPr>
                    <w:t>≤</w:t>
                  </w:r>
                  <w:r>
                    <w:rPr>
                      <w:rFonts w:hint="default" w:ascii="Times New Roman" w:hAnsi="Times New Roman" w:eastAsia="宋体" w:cs="Times New Roman"/>
                      <w:color w:val="auto"/>
                      <w:vertAlign w:val="baseline"/>
                      <w:lang w:val="en-US" w:eastAsia="zh-CN"/>
                    </w:rPr>
                    <w:t>0.005</w:t>
                  </w:r>
                </w:p>
              </w:tc>
              <w:tc>
                <w:tcPr>
                  <w:tcW w:w="12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szCs w:val="21"/>
                    </w:rPr>
                    <w:t>≤</w:t>
                  </w:r>
                  <w:r>
                    <w:rPr>
                      <w:rFonts w:hint="default" w:ascii="Times New Roman" w:hAnsi="Times New Roman" w:eastAsia="宋体" w:cs="Times New Roman"/>
                      <w:color w:val="auto"/>
                      <w:vertAlign w:val="baseline"/>
                      <w:lang w:val="en-US" w:eastAsia="zh-CN"/>
                    </w:rPr>
                    <w:t>10</w:t>
                  </w:r>
                </w:p>
              </w:tc>
              <w:tc>
                <w:tcPr>
                  <w:tcW w:w="9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szCs w:val="21"/>
                    </w:rPr>
                    <w:t>≤</w:t>
                  </w:r>
                  <w:r>
                    <w:rPr>
                      <w:rFonts w:hint="default" w:ascii="Times New Roman" w:hAnsi="Times New Roman" w:eastAsia="宋体" w:cs="Times New Roman"/>
                      <w:color w:val="auto"/>
                      <w:vertAlign w:val="baseline"/>
                      <w:lang w:val="en-US" w:eastAsia="zh-CN"/>
                    </w:rPr>
                    <w:t>1.0</w:t>
                  </w:r>
                </w:p>
              </w:tc>
              <w:tc>
                <w:tcPr>
                  <w:tcW w:w="1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szCs w:val="21"/>
                    </w:rPr>
                    <w:t>≤</w:t>
                  </w:r>
                  <w:r>
                    <w:rPr>
                      <w:rFonts w:hint="default" w:ascii="Times New Roman" w:hAnsi="Times New Roman" w:eastAsia="宋体" w:cs="Times New Roman"/>
                      <w:color w:val="auto"/>
                      <w:vertAlign w:val="baseline"/>
                      <w:lang w:val="en-US" w:eastAsia="zh-CN"/>
                    </w:rPr>
                    <w:t>40</w:t>
                  </w:r>
                </w:p>
              </w:tc>
              <w:tc>
                <w:tcPr>
                  <w:tcW w:w="12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szCs w:val="21"/>
                    </w:rPr>
                    <w:t>≤</w:t>
                  </w:r>
                  <w:r>
                    <w:rPr>
                      <w:rFonts w:hint="default" w:ascii="Times New Roman" w:hAnsi="Times New Roman" w:eastAsia="宋体" w:cs="Times New Roman"/>
                      <w:color w:val="auto"/>
                      <w:vertAlign w:val="baseline"/>
                      <w:lang w:val="en-US" w:eastAsia="zh-CN"/>
                    </w:rPr>
                    <w:t>24</w:t>
                  </w:r>
                </w:p>
              </w:tc>
              <w:tc>
                <w:tcPr>
                  <w:tcW w:w="10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szCs w:val="21"/>
                    </w:rPr>
                    <w:t>≤</w:t>
                  </w:r>
                  <w:r>
                    <w:rPr>
                      <w:rFonts w:hint="default" w:ascii="Times New Roman" w:hAnsi="Times New Roman" w:eastAsia="宋体" w:cs="Times New Roman"/>
                      <w:color w:val="auto"/>
                      <w:vertAlign w:val="baseline"/>
                      <w:lang w:val="en-US" w:eastAsia="zh-CN"/>
                    </w:rPr>
                    <w:t>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宋体"/>
                      <w:color w:val="auto"/>
                      <w:vertAlign w:val="baseline"/>
                      <w:lang w:val="en-US" w:eastAsia="zh-CN"/>
                    </w:rPr>
                  </w:pPr>
                  <w:r>
                    <w:rPr>
                      <w:rFonts w:hint="eastAsia"/>
                      <w:color w:val="auto"/>
                      <w:vertAlign w:val="baseline"/>
                      <w:lang w:val="en-US" w:eastAsia="zh-CN"/>
                    </w:rPr>
                    <w:t>95#</w:t>
                  </w:r>
                </w:p>
              </w:tc>
              <w:tc>
                <w:tcPr>
                  <w:tcW w:w="9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szCs w:val="21"/>
                    </w:rPr>
                    <w:t>≥</w:t>
                  </w:r>
                  <w:r>
                    <w:rPr>
                      <w:rFonts w:hint="default" w:ascii="Times New Roman" w:hAnsi="Times New Roman" w:eastAsia="宋体" w:cs="Times New Roman"/>
                      <w:color w:val="auto"/>
                      <w:vertAlign w:val="baseline"/>
                      <w:lang w:val="en-US" w:eastAsia="zh-CN"/>
                    </w:rPr>
                    <w:t>97</w:t>
                  </w:r>
                </w:p>
              </w:tc>
              <w:tc>
                <w:tcPr>
                  <w:tcW w:w="11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vertAlign w:val="baseline"/>
                    </w:rPr>
                  </w:pPr>
                  <w:r>
                    <w:rPr>
                      <w:rFonts w:hint="default" w:ascii="Times New Roman" w:hAnsi="Times New Roman" w:eastAsia="宋体" w:cs="Times New Roman"/>
                      <w:color w:val="auto"/>
                      <w:szCs w:val="21"/>
                    </w:rPr>
                    <w:t>≤</w:t>
                  </w:r>
                  <w:r>
                    <w:rPr>
                      <w:rFonts w:hint="default" w:ascii="Times New Roman" w:hAnsi="Times New Roman" w:eastAsia="宋体" w:cs="Times New Roman"/>
                      <w:color w:val="auto"/>
                      <w:vertAlign w:val="baseline"/>
                      <w:lang w:val="en-US" w:eastAsia="zh-CN"/>
                    </w:rPr>
                    <w:t>0.005</w:t>
                  </w:r>
                </w:p>
              </w:tc>
              <w:tc>
                <w:tcPr>
                  <w:tcW w:w="12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szCs w:val="21"/>
                    </w:rPr>
                    <w:t>≤</w:t>
                  </w:r>
                  <w:r>
                    <w:rPr>
                      <w:rFonts w:hint="default" w:ascii="Times New Roman" w:hAnsi="Times New Roman" w:eastAsia="宋体" w:cs="Times New Roman"/>
                      <w:color w:val="auto"/>
                      <w:vertAlign w:val="baseline"/>
                      <w:lang w:val="en-US" w:eastAsia="zh-CN"/>
                    </w:rPr>
                    <w:t>10</w:t>
                  </w:r>
                </w:p>
              </w:tc>
              <w:tc>
                <w:tcPr>
                  <w:tcW w:w="9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szCs w:val="21"/>
                    </w:rPr>
                    <w:t>≤</w:t>
                  </w:r>
                  <w:r>
                    <w:rPr>
                      <w:rFonts w:hint="default" w:ascii="Times New Roman" w:hAnsi="Times New Roman" w:eastAsia="宋体" w:cs="Times New Roman"/>
                      <w:color w:val="auto"/>
                      <w:vertAlign w:val="baseline"/>
                      <w:lang w:val="en-US" w:eastAsia="zh-CN"/>
                    </w:rPr>
                    <w:t>1.0</w:t>
                  </w:r>
                </w:p>
              </w:tc>
              <w:tc>
                <w:tcPr>
                  <w:tcW w:w="1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szCs w:val="21"/>
                    </w:rPr>
                    <w:t>≤</w:t>
                  </w:r>
                  <w:r>
                    <w:rPr>
                      <w:rFonts w:hint="default" w:ascii="Times New Roman" w:hAnsi="Times New Roman" w:eastAsia="宋体" w:cs="Times New Roman"/>
                      <w:color w:val="auto"/>
                      <w:vertAlign w:val="baseline"/>
                      <w:lang w:val="en-US" w:eastAsia="zh-CN"/>
                    </w:rPr>
                    <w:t>40</w:t>
                  </w:r>
                </w:p>
              </w:tc>
              <w:tc>
                <w:tcPr>
                  <w:tcW w:w="12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szCs w:val="21"/>
                    </w:rPr>
                    <w:t>≤</w:t>
                  </w:r>
                  <w:r>
                    <w:rPr>
                      <w:rFonts w:hint="default" w:ascii="Times New Roman" w:hAnsi="Times New Roman" w:eastAsia="宋体" w:cs="Times New Roman"/>
                      <w:color w:val="auto"/>
                      <w:vertAlign w:val="baseline"/>
                      <w:lang w:val="en-US" w:eastAsia="zh-CN"/>
                    </w:rPr>
                    <w:t>24</w:t>
                  </w:r>
                </w:p>
              </w:tc>
              <w:tc>
                <w:tcPr>
                  <w:tcW w:w="10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szCs w:val="21"/>
                    </w:rPr>
                    <w:t>≤</w:t>
                  </w:r>
                  <w:r>
                    <w:rPr>
                      <w:rFonts w:hint="default" w:ascii="Times New Roman" w:hAnsi="Times New Roman" w:eastAsia="宋体" w:cs="Times New Roman"/>
                      <w:color w:val="auto"/>
                      <w:vertAlign w:val="baseline"/>
                      <w:lang w:val="en-US" w:eastAsia="zh-CN"/>
                    </w:rPr>
                    <w:t>2.7</w:t>
                  </w:r>
                </w:p>
              </w:tc>
            </w:tr>
          </w:tbl>
          <w:p>
            <w:pPr>
              <w:jc w:val="center"/>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表2-</w:t>
            </w:r>
            <w:r>
              <w:rPr>
                <w:rFonts w:hint="eastAsia" w:eastAsia="黑体" w:cs="Times New Roman"/>
                <w:color w:val="auto"/>
                <w:sz w:val="24"/>
                <w:szCs w:val="24"/>
                <w:lang w:val="en-US" w:eastAsia="zh-CN"/>
              </w:rPr>
              <w:t>5</w:t>
            </w:r>
            <w:r>
              <w:rPr>
                <w:rFonts w:hint="default" w:ascii="Times New Roman" w:hAnsi="Times New Roman" w:eastAsia="黑体" w:cs="Times New Roman"/>
                <w:color w:val="auto"/>
                <w:sz w:val="24"/>
                <w:szCs w:val="24"/>
                <w:lang w:val="en-US" w:eastAsia="zh-CN"/>
              </w:rPr>
              <w:t xml:space="preserve">  车用柴油(Ⅳ)主要质量指标</w:t>
            </w:r>
          </w:p>
          <w:tbl>
            <w:tblPr>
              <w:tblStyle w:val="27"/>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1016"/>
              <w:gridCol w:w="1142"/>
              <w:gridCol w:w="916"/>
              <w:gridCol w:w="1201"/>
              <w:gridCol w:w="1663"/>
              <w:gridCol w:w="16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716" w:type="pct"/>
                  <w:vMerge w:val="restart"/>
                  <w:tcBorders>
                    <w:tl2br w:val="nil"/>
                    <w:tr2bl w:val="nil"/>
                  </w:tcBorders>
                  <w:vAlign w:val="center"/>
                  <mc:AlternateContent>
                    <mc:Choice Requires="wpsCustomData">
                      <wpsCustomData:diagonals>
                        <wpsCustomData:diagonal from="10000" to="30000">
                          <wpsCustomData:border w:val="single" w:color="auto" w:sz="12"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cs="Times New Roman"/>
                      <w:color w:val="auto"/>
                      <w:sz w:val="20"/>
                      <w:szCs w:val="20"/>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mc:AlternateContent>
                      <mc:Choice Requires="wpsCustomData">
                        <wpsCustomData:diagonalParaType/>
                      </mc:Choice>
                    </mc:AlternateContent>
                    <w:rPr>
                      <w:rFonts w:hint="default" w:ascii="Times New Roman" w:hAnsi="Times New Roman" w:eastAsia="宋体" w:cs="Times New Roman"/>
                      <w:color w:val="auto"/>
                      <w:sz w:val="20"/>
                      <w:szCs w:val="20"/>
                      <w:vertAlign w:val="baseline"/>
                      <w:lang w:val="en-US" w:eastAsia="zh-CN"/>
                    </w:rPr>
                  </w:pPr>
                  <w:r>
                    <w:rPr>
                      <w:rFonts w:hint="default" w:ascii="Times New Roman" w:hAnsi="Times New Roman" w:cs="Times New Roman"/>
                      <w:color w:val="auto"/>
                      <w:sz w:val="20"/>
                      <w:szCs w:val="20"/>
                      <w:vertAlign w:val="baseline"/>
                      <w:lang w:val="en-US" w:eastAsia="zh-CN"/>
                    </w:rPr>
                    <w:t>标号</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宋体" w:cs="Times New Roman"/>
                      <w:color w:val="auto"/>
                      <w:sz w:val="20"/>
                      <w:szCs w:val="20"/>
                      <w:vertAlign w:val="baseline"/>
                      <w:lang w:val="en-US" w:eastAsia="zh-CN"/>
                    </w:rPr>
                  </w:pPr>
                  <w:r>
                    <w:rPr>
                      <w:rFonts w:hint="default" w:ascii="Times New Roman" w:hAnsi="Times New Roman" w:cs="Times New Roman"/>
                      <w:color w:val="auto"/>
                      <w:sz w:val="20"/>
                      <w:szCs w:val="20"/>
                      <w:vertAlign w:val="baseline"/>
                      <w:lang w:val="en-US" w:eastAsia="zh-CN"/>
                    </w:rPr>
                    <w:t>项目</w:t>
                  </w:r>
                </w:p>
              </w:tc>
              <w:tc>
                <w:tcPr>
                  <w:tcW w:w="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凝点</w:t>
                  </w:r>
                </w:p>
              </w:tc>
              <w:tc>
                <w:tcPr>
                  <w:tcW w:w="6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冷滤点</w:t>
                  </w:r>
                </w:p>
              </w:tc>
              <w:tc>
                <w:tcPr>
                  <w:tcW w:w="5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闪点</w:t>
                  </w:r>
                </w:p>
              </w:tc>
              <w:tc>
                <w:tcPr>
                  <w:tcW w:w="67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十六烧值</w:t>
                  </w:r>
                </w:p>
              </w:tc>
              <w:tc>
                <w:tcPr>
                  <w:tcW w:w="93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多环芳烃含量（质量分数）</w:t>
                  </w:r>
                </w:p>
              </w:tc>
              <w:tc>
                <w:tcPr>
                  <w:tcW w:w="95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运动粘度20</w:t>
                  </w:r>
                  <w:r>
                    <w:rPr>
                      <w:rFonts w:hint="default" w:ascii="Times New Roman" w:hAnsi="Times New Roman" w:eastAsia="宋体" w:cs="Times New Roman"/>
                      <w:color w:val="auto"/>
                      <w:vertAlign w:val="baseline"/>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mm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vertAlign w:val="baseline"/>
                      <w:lang w:val="en-US" w:eastAsia="zh-CN"/>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vertAlign w:val="baseline"/>
                    </w:rPr>
                  </w:pPr>
                </w:p>
              </w:tc>
              <w:tc>
                <w:tcPr>
                  <w:tcW w:w="1725"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vertAlign w:val="baseline"/>
                    </w:rPr>
                  </w:pPr>
                  <w:r>
                    <w:rPr>
                      <w:rFonts w:hint="default" w:ascii="Times New Roman" w:hAnsi="Times New Roman" w:eastAsia="宋体" w:cs="Times New Roman"/>
                      <w:color w:val="auto"/>
                      <w:vertAlign w:val="baseline"/>
                      <w:lang w:val="en-US" w:eastAsia="zh-CN"/>
                    </w:rPr>
                    <w:t>℃</w:t>
                  </w:r>
                </w:p>
              </w:tc>
              <w:tc>
                <w:tcPr>
                  <w:tcW w:w="67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p>
              </w:tc>
              <w:tc>
                <w:tcPr>
                  <w:tcW w:w="93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p>
              </w:tc>
              <w:tc>
                <w:tcPr>
                  <w:tcW w:w="9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0号</w:t>
                  </w:r>
                </w:p>
              </w:tc>
              <w:tc>
                <w:tcPr>
                  <w:tcW w:w="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szCs w:val="21"/>
                    </w:rPr>
                    <w:t>≤</w:t>
                  </w:r>
                  <w:r>
                    <w:rPr>
                      <w:rFonts w:hint="eastAsia" w:ascii="Times New Roman" w:hAnsi="Times New Roman" w:cs="Times New Roman"/>
                      <w:color w:val="auto"/>
                      <w:vertAlign w:val="baseline"/>
                      <w:lang w:val="en-US" w:eastAsia="zh-CN"/>
                    </w:rPr>
                    <w:t>0</w:t>
                  </w:r>
                </w:p>
              </w:tc>
              <w:tc>
                <w:tcPr>
                  <w:tcW w:w="6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szCs w:val="21"/>
                    </w:rPr>
                    <w:t>≤</w:t>
                  </w:r>
                  <w:r>
                    <w:rPr>
                      <w:rFonts w:hint="eastAsia" w:ascii="Times New Roman" w:hAnsi="Times New Roman" w:cs="Times New Roman"/>
                      <w:color w:val="auto"/>
                      <w:vertAlign w:val="baseline"/>
                      <w:lang w:val="en-US" w:eastAsia="zh-CN"/>
                    </w:rPr>
                    <w:t>4</w:t>
                  </w:r>
                </w:p>
              </w:tc>
              <w:tc>
                <w:tcPr>
                  <w:tcW w:w="5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szCs w:val="21"/>
                    </w:rPr>
                    <w:t>≥</w:t>
                  </w:r>
                  <w:r>
                    <w:rPr>
                      <w:rFonts w:hint="eastAsia" w:ascii="Times New Roman" w:hAnsi="Times New Roman" w:cs="Times New Roman"/>
                      <w:color w:val="auto"/>
                      <w:vertAlign w:val="baseline"/>
                      <w:lang w:val="en-US" w:eastAsia="zh-CN"/>
                    </w:rPr>
                    <w:t>55</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szCs w:val="21"/>
                    </w:rPr>
                    <w:t>≥</w:t>
                  </w:r>
                  <w:r>
                    <w:rPr>
                      <w:rFonts w:hint="eastAsia" w:cs="Times New Roman"/>
                      <w:color w:val="auto"/>
                      <w:szCs w:val="21"/>
                      <w:lang w:val="en-US" w:eastAsia="zh-CN"/>
                    </w:rPr>
                    <w:t>49</w:t>
                  </w:r>
                </w:p>
              </w:tc>
              <w:tc>
                <w:tcPr>
                  <w:tcW w:w="9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szCs w:val="21"/>
                    </w:rPr>
                    <w:t>≤</w:t>
                  </w:r>
                  <w:r>
                    <w:rPr>
                      <w:rFonts w:hint="eastAsia" w:cs="Times New Roman"/>
                      <w:color w:val="auto"/>
                      <w:szCs w:val="21"/>
                      <w:lang w:val="en-US" w:eastAsia="zh-CN"/>
                    </w:rPr>
                    <w:t>11%</w:t>
                  </w:r>
                </w:p>
              </w:tc>
              <w:tc>
                <w:tcPr>
                  <w:tcW w:w="9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cs="Times New Roman"/>
                      <w:color w:val="auto"/>
                      <w:vertAlign w:val="baseline"/>
                      <w:lang w:val="en-US" w:eastAsia="zh-CN"/>
                    </w:rPr>
                    <w:t>3.0~8.0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-10号</w:t>
                  </w:r>
                </w:p>
              </w:tc>
              <w:tc>
                <w:tcPr>
                  <w:tcW w:w="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szCs w:val="21"/>
                    </w:rPr>
                    <w:t>≤</w:t>
                  </w:r>
                  <w:r>
                    <w:rPr>
                      <w:rFonts w:hint="eastAsia" w:ascii="Times New Roman" w:hAnsi="Times New Roman" w:cs="Times New Roman"/>
                      <w:color w:val="auto"/>
                      <w:vertAlign w:val="baseline"/>
                      <w:lang w:val="en-US" w:eastAsia="zh-CN"/>
                    </w:rPr>
                    <w:t>-10</w:t>
                  </w:r>
                </w:p>
              </w:tc>
              <w:tc>
                <w:tcPr>
                  <w:tcW w:w="6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szCs w:val="21"/>
                    </w:rPr>
                    <w:t>≤</w:t>
                  </w:r>
                  <w:r>
                    <w:rPr>
                      <w:rFonts w:hint="eastAsia" w:ascii="Times New Roman" w:hAnsi="Times New Roman" w:cs="Times New Roman"/>
                      <w:color w:val="auto"/>
                      <w:vertAlign w:val="baseline"/>
                      <w:lang w:val="en-US" w:eastAsia="zh-CN"/>
                    </w:rPr>
                    <w:t>-5</w:t>
                  </w:r>
                </w:p>
              </w:tc>
              <w:tc>
                <w:tcPr>
                  <w:tcW w:w="5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szCs w:val="21"/>
                    </w:rPr>
                    <w:t>≥</w:t>
                  </w:r>
                  <w:r>
                    <w:rPr>
                      <w:rFonts w:hint="eastAsia" w:ascii="Times New Roman" w:hAnsi="Times New Roman" w:cs="Times New Roman"/>
                      <w:color w:val="auto"/>
                      <w:vertAlign w:val="baseline"/>
                      <w:lang w:val="en-US" w:eastAsia="zh-CN"/>
                    </w:rPr>
                    <w:t>55</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szCs w:val="21"/>
                    </w:rPr>
                    <w:t>≥</w:t>
                  </w:r>
                  <w:r>
                    <w:rPr>
                      <w:rFonts w:hint="eastAsia" w:cs="Times New Roman"/>
                      <w:color w:val="auto"/>
                      <w:szCs w:val="21"/>
                      <w:lang w:val="en-US" w:eastAsia="zh-CN"/>
                    </w:rPr>
                    <w:t>49</w:t>
                  </w:r>
                </w:p>
              </w:tc>
              <w:tc>
                <w:tcPr>
                  <w:tcW w:w="9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szCs w:val="21"/>
                    </w:rPr>
                    <w:t>≤</w:t>
                  </w:r>
                  <w:r>
                    <w:rPr>
                      <w:rFonts w:hint="eastAsia" w:cs="Times New Roman"/>
                      <w:color w:val="auto"/>
                      <w:szCs w:val="21"/>
                      <w:lang w:val="en-US" w:eastAsia="zh-CN"/>
                    </w:rPr>
                    <w:t>11%</w:t>
                  </w:r>
                </w:p>
              </w:tc>
              <w:tc>
                <w:tcPr>
                  <w:tcW w:w="9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cs="Times New Roman"/>
                      <w:color w:val="auto"/>
                      <w:vertAlign w:val="baseline"/>
                      <w:lang w:val="en-US" w:eastAsia="zh-CN"/>
                    </w:rPr>
                    <w:t>2.5~8.0</w:t>
                  </w:r>
                </w:p>
              </w:tc>
            </w:tr>
          </w:tbl>
          <w:p>
            <w:pPr>
              <w:pStyle w:val="43"/>
              <w:ind w:firstLine="0" w:firstLineChars="0"/>
              <w:rPr>
                <w:rFonts w:hint="eastAsia" w:eastAsia="黑体"/>
                <w:color w:val="auto"/>
                <w:lang w:val="en-US" w:eastAsia="zh-CN"/>
              </w:rPr>
            </w:pPr>
            <w:r>
              <w:rPr>
                <w:rFonts w:hint="eastAsia" w:eastAsia="黑体"/>
                <w:color w:val="auto"/>
                <w:lang w:val="en-US" w:eastAsia="zh-CN"/>
              </w:rPr>
              <w:t>5项目主要设备</w:t>
            </w:r>
          </w:p>
          <w:p>
            <w:pPr>
              <w:keepNext w:val="0"/>
              <w:keepLines w:val="0"/>
              <w:widowControl/>
              <w:suppressLineNumbers w:val="0"/>
              <w:ind w:firstLine="512"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w:t>
            </w:r>
            <w:r>
              <w:rPr>
                <w:rFonts w:hint="eastAsia" w:cs="Times New Roman"/>
                <w:color w:val="auto"/>
                <w:sz w:val="24"/>
                <w:szCs w:val="24"/>
                <w:highlight w:val="none"/>
                <w:lang w:val="en-US" w:eastAsia="zh-CN"/>
              </w:rPr>
              <w:t>项目</w:t>
            </w:r>
            <w:r>
              <w:rPr>
                <w:rFonts w:hint="default" w:ascii="Times New Roman" w:hAnsi="Times New Roman" w:eastAsia="宋体" w:cs="Times New Roman"/>
                <w:color w:val="auto"/>
                <w:kern w:val="0"/>
                <w:sz w:val="24"/>
                <w:szCs w:val="24"/>
                <w:lang w:val="en-US" w:eastAsia="zh-CN" w:bidi="ar"/>
              </w:rPr>
              <w:t>加油站主要设备</w:t>
            </w:r>
            <w:r>
              <w:rPr>
                <w:rFonts w:hint="default" w:ascii="Times New Roman" w:hAnsi="Times New Roman" w:eastAsia="宋体" w:cs="Times New Roman"/>
                <w:color w:val="auto"/>
                <w:sz w:val="24"/>
                <w:szCs w:val="24"/>
                <w:highlight w:val="none"/>
              </w:rPr>
              <w:t>见表</w:t>
            </w:r>
            <w:r>
              <w:rPr>
                <w:rFonts w:hint="default"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p>
          <w:p>
            <w:pPr>
              <w:pStyle w:val="61"/>
              <w:snapToGrid/>
              <w:spacing w:line="240" w:lineRule="auto"/>
              <w:ind w:firstLine="512"/>
              <w:jc w:val="center"/>
              <w:rPr>
                <w:rFonts w:hint="default" w:ascii="Times New Roman" w:hAnsi="Times New Roman" w:eastAsia="黑体" w:cs="Times New Roman"/>
                <w:color w:val="auto"/>
                <w:sz w:val="24"/>
                <w:szCs w:val="24"/>
                <w:highlight w:val="none"/>
              </w:rPr>
            </w:pPr>
            <w:r>
              <w:rPr>
                <w:rFonts w:hint="default" w:ascii="Times New Roman" w:hAnsi="Times New Roman" w:eastAsia="黑体" w:cs="Times New Roman"/>
                <w:color w:val="auto"/>
                <w:sz w:val="24"/>
                <w:szCs w:val="24"/>
                <w:highlight w:val="none"/>
              </w:rPr>
              <w:t>表</w:t>
            </w:r>
            <w:r>
              <w:rPr>
                <w:rFonts w:hint="eastAsia" w:ascii="Times New Roman" w:hAnsi="Times New Roman" w:eastAsia="黑体" w:cs="Times New Roman"/>
                <w:color w:val="auto"/>
                <w:sz w:val="24"/>
                <w:szCs w:val="24"/>
                <w:highlight w:val="none"/>
                <w:lang w:val="en-US" w:eastAsia="zh-CN"/>
              </w:rPr>
              <w:t>2-</w:t>
            </w:r>
            <w:r>
              <w:rPr>
                <w:rFonts w:hint="eastAsia" w:eastAsia="黑体" w:cs="Times New Roman"/>
                <w:color w:val="auto"/>
                <w:sz w:val="24"/>
                <w:szCs w:val="24"/>
                <w:highlight w:val="none"/>
                <w:lang w:val="en-US" w:eastAsia="zh-CN"/>
              </w:rPr>
              <w:t>6</w:t>
            </w:r>
            <w:r>
              <w:rPr>
                <w:rFonts w:hint="default" w:ascii="Times New Roman" w:hAnsi="Times New Roman" w:eastAsia="黑体" w:cs="Times New Roman"/>
                <w:color w:val="auto"/>
                <w:sz w:val="24"/>
                <w:szCs w:val="24"/>
                <w:highlight w:val="none"/>
              </w:rPr>
              <w:t xml:space="preserve">  项目主要设备、设施一览表</w:t>
            </w:r>
          </w:p>
          <w:tbl>
            <w:tblPr>
              <w:tblStyle w:val="27"/>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6"/>
              <w:gridCol w:w="2505"/>
              <w:gridCol w:w="2407"/>
              <w:gridCol w:w="1360"/>
              <w:gridCol w:w="15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6"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rPr>
                    <w:t>序号</w:t>
                  </w:r>
                </w:p>
              </w:tc>
              <w:tc>
                <w:tcPr>
                  <w:tcW w:w="2505"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rPr>
                    <w:t>设备名称</w:t>
                  </w:r>
                </w:p>
              </w:tc>
              <w:tc>
                <w:tcPr>
                  <w:tcW w:w="2407"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rPr>
                    <w:t>规格型号、性能参数</w:t>
                  </w:r>
                </w:p>
              </w:tc>
              <w:tc>
                <w:tcPr>
                  <w:tcW w:w="1360"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rPr>
                    <w:t>单位</w:t>
                  </w:r>
                </w:p>
              </w:tc>
              <w:tc>
                <w:tcPr>
                  <w:tcW w:w="1588"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6"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rPr>
                    <w:t>1</w:t>
                  </w:r>
                </w:p>
              </w:tc>
              <w:tc>
                <w:tcPr>
                  <w:tcW w:w="2505"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rPr>
                    <w:t>地埋式双层汽油储罐</w:t>
                  </w:r>
                </w:p>
              </w:tc>
              <w:tc>
                <w:tcPr>
                  <w:tcW w:w="2407"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rPr>
                    <w:t>单个容积50m</w:t>
                  </w:r>
                  <w:r>
                    <w:rPr>
                      <w:rFonts w:hint="eastAsia" w:ascii="Times New Roman" w:hAnsi="Times New Roman" w:eastAsia="宋体" w:cs="Times New Roman"/>
                      <w:color w:val="auto"/>
                      <w:sz w:val="21"/>
                      <w:szCs w:val="21"/>
                      <w:lang w:val="en-US" w:eastAsia="zh-CN"/>
                    </w:rPr>
                    <w:t>³</w:t>
                  </w:r>
                </w:p>
              </w:tc>
              <w:tc>
                <w:tcPr>
                  <w:tcW w:w="1360"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rPr>
                    <w:t>座</w:t>
                  </w:r>
                </w:p>
              </w:tc>
              <w:tc>
                <w:tcPr>
                  <w:tcW w:w="1588"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6"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rPr>
                    <w:t>2</w:t>
                  </w:r>
                </w:p>
              </w:tc>
              <w:tc>
                <w:tcPr>
                  <w:tcW w:w="2505"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rPr>
                    <w:t>地埋式双层柴油储罐</w:t>
                  </w:r>
                </w:p>
              </w:tc>
              <w:tc>
                <w:tcPr>
                  <w:tcW w:w="2407"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rPr>
                    <w:t>单个容积50m</w:t>
                  </w:r>
                  <w:r>
                    <w:rPr>
                      <w:rFonts w:hint="eastAsia" w:ascii="Times New Roman" w:hAnsi="Times New Roman" w:eastAsia="宋体" w:cs="Times New Roman"/>
                      <w:color w:val="auto"/>
                      <w:sz w:val="21"/>
                      <w:szCs w:val="21"/>
                      <w:lang w:val="en-US" w:eastAsia="zh-CN"/>
                    </w:rPr>
                    <w:t>³</w:t>
                  </w:r>
                </w:p>
              </w:tc>
              <w:tc>
                <w:tcPr>
                  <w:tcW w:w="1360"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rPr>
                    <w:t>座</w:t>
                  </w:r>
                </w:p>
              </w:tc>
              <w:tc>
                <w:tcPr>
                  <w:tcW w:w="1588"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6"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rPr>
                    <w:t>3</w:t>
                  </w:r>
                </w:p>
              </w:tc>
              <w:tc>
                <w:tcPr>
                  <w:tcW w:w="2505"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rPr>
                    <w:t>汽油加油机</w:t>
                  </w:r>
                </w:p>
              </w:tc>
              <w:tc>
                <w:tcPr>
                  <w:tcW w:w="2407"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rPr>
                    <w:t>双枪</w:t>
                  </w:r>
                </w:p>
              </w:tc>
              <w:tc>
                <w:tcPr>
                  <w:tcW w:w="1360"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rPr>
                    <w:t>台</w:t>
                  </w:r>
                </w:p>
              </w:tc>
              <w:tc>
                <w:tcPr>
                  <w:tcW w:w="1588"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6"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rPr>
                    <w:t>4</w:t>
                  </w:r>
                </w:p>
              </w:tc>
              <w:tc>
                <w:tcPr>
                  <w:tcW w:w="2505"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rPr>
                    <w:t>柴油加油机</w:t>
                  </w:r>
                </w:p>
              </w:tc>
              <w:tc>
                <w:tcPr>
                  <w:tcW w:w="2407"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rPr>
                    <w:t>双枪</w:t>
                  </w:r>
                </w:p>
              </w:tc>
              <w:tc>
                <w:tcPr>
                  <w:tcW w:w="1360"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rPr>
                    <w:t>台</w:t>
                  </w:r>
                </w:p>
              </w:tc>
              <w:tc>
                <w:tcPr>
                  <w:tcW w:w="1588"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6"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rPr>
                    <w:t>5</w:t>
                  </w:r>
                </w:p>
              </w:tc>
              <w:tc>
                <w:tcPr>
                  <w:tcW w:w="2505"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rPr>
                    <w:t>油气回收装置</w:t>
                  </w:r>
                </w:p>
              </w:tc>
              <w:tc>
                <w:tcPr>
                  <w:tcW w:w="2407"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rPr>
                    <w:t>/</w:t>
                  </w:r>
                </w:p>
              </w:tc>
              <w:tc>
                <w:tcPr>
                  <w:tcW w:w="1360"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rPr>
                    <w:t>/</w:t>
                  </w:r>
                </w:p>
              </w:tc>
              <w:tc>
                <w:tcPr>
                  <w:tcW w:w="1588"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6"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rPr>
                    <w:t>6</w:t>
                  </w:r>
                </w:p>
              </w:tc>
              <w:tc>
                <w:tcPr>
                  <w:tcW w:w="2505"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rPr>
                    <w:t>潜油泵</w:t>
                  </w:r>
                </w:p>
              </w:tc>
              <w:tc>
                <w:tcPr>
                  <w:tcW w:w="2407"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rPr>
                    <w:t>200L/min，0.75Hp</w:t>
                  </w:r>
                </w:p>
              </w:tc>
              <w:tc>
                <w:tcPr>
                  <w:tcW w:w="1360"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rPr>
                    <w:t>台</w:t>
                  </w:r>
                </w:p>
              </w:tc>
              <w:tc>
                <w:tcPr>
                  <w:tcW w:w="1588"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rPr>
                    <w:t>4</w:t>
                  </w:r>
                </w:p>
              </w:tc>
            </w:tr>
          </w:tbl>
          <w:p>
            <w:pPr>
              <w:pStyle w:val="43"/>
              <w:ind w:firstLine="0" w:firstLineChars="0"/>
              <w:rPr>
                <w:rFonts w:eastAsia="黑体"/>
                <w:color w:val="auto"/>
              </w:rPr>
            </w:pPr>
            <w:r>
              <w:rPr>
                <w:rFonts w:hint="eastAsia" w:eastAsia="黑体"/>
                <w:color w:val="auto"/>
                <w:lang w:val="en-US" w:eastAsia="zh-CN"/>
              </w:rPr>
              <w:t>5</w:t>
            </w:r>
            <w:r>
              <w:rPr>
                <w:rFonts w:hint="eastAsia" w:eastAsia="黑体"/>
                <w:color w:val="auto"/>
              </w:rPr>
              <w:t>公用工程</w:t>
            </w:r>
          </w:p>
          <w:p>
            <w:pPr>
              <w:pStyle w:val="43"/>
              <w:ind w:firstLine="0" w:firstLineChars="0"/>
              <w:rPr>
                <w:rFonts w:eastAsia="黑体"/>
                <w:color w:val="auto"/>
              </w:rPr>
            </w:pPr>
            <w:r>
              <w:rPr>
                <w:rFonts w:hint="eastAsia" w:eastAsia="黑体"/>
                <w:color w:val="auto"/>
                <w:lang w:val="en-US" w:eastAsia="zh-CN"/>
              </w:rPr>
              <w:t>5</w:t>
            </w:r>
            <w:r>
              <w:rPr>
                <w:rFonts w:eastAsia="黑体"/>
                <w:color w:val="auto"/>
              </w:rPr>
              <w:t>.1供水</w:t>
            </w:r>
          </w:p>
          <w:p>
            <w:pPr>
              <w:pStyle w:val="43"/>
              <w:keepNext w:val="0"/>
              <w:keepLines w:val="0"/>
              <w:pageBreakBefore w:val="0"/>
              <w:widowControl w:val="0"/>
              <w:kinsoku/>
              <w:wordWrap/>
              <w:overflowPunct/>
              <w:topLinePunct w:val="0"/>
              <w:autoSpaceDE/>
              <w:autoSpaceDN/>
              <w:bidi w:val="0"/>
              <w:adjustRightInd/>
              <w:snapToGrid/>
              <w:ind w:firstLine="512" w:firstLineChars="200"/>
              <w:textAlignment w:val="auto"/>
              <w:rPr>
                <w:rFonts w:hint="eastAsia"/>
                <w:color w:val="auto"/>
              </w:rPr>
            </w:pPr>
            <w:r>
              <w:rPr>
                <w:rFonts w:hint="eastAsia"/>
                <w:color w:val="auto"/>
              </w:rPr>
              <w:t>本项目用水由市政供水管网提供，总用水量为812.55m³/a。</w:t>
            </w:r>
          </w:p>
          <w:p>
            <w:pPr>
              <w:pStyle w:val="43"/>
              <w:keepNext w:val="0"/>
              <w:keepLines w:val="0"/>
              <w:pageBreakBefore w:val="0"/>
              <w:widowControl w:val="0"/>
              <w:kinsoku/>
              <w:wordWrap/>
              <w:overflowPunct/>
              <w:topLinePunct w:val="0"/>
              <w:autoSpaceDE/>
              <w:autoSpaceDN/>
              <w:bidi w:val="0"/>
              <w:adjustRightInd/>
              <w:snapToGrid/>
              <w:ind w:firstLine="512" w:firstLineChars="200"/>
              <w:textAlignment w:val="auto"/>
              <w:rPr>
                <w:rFonts w:hint="eastAsia"/>
                <w:color w:val="auto"/>
              </w:rPr>
            </w:pPr>
            <w:r>
              <w:rPr>
                <w:rFonts w:hint="eastAsia"/>
                <w:color w:val="auto"/>
              </w:rPr>
              <w:t>①生活用水</w:t>
            </w:r>
          </w:p>
          <w:p>
            <w:pPr>
              <w:pStyle w:val="43"/>
              <w:keepNext w:val="0"/>
              <w:keepLines w:val="0"/>
              <w:pageBreakBefore w:val="0"/>
              <w:widowControl w:val="0"/>
              <w:kinsoku/>
              <w:wordWrap/>
              <w:overflowPunct/>
              <w:topLinePunct w:val="0"/>
              <w:autoSpaceDE/>
              <w:autoSpaceDN/>
              <w:bidi w:val="0"/>
              <w:adjustRightInd/>
              <w:snapToGrid/>
              <w:ind w:firstLine="512" w:firstLineChars="200"/>
              <w:jc w:val="left"/>
              <w:textAlignment w:val="auto"/>
              <w:rPr>
                <w:rFonts w:hint="eastAsia"/>
                <w:color w:val="auto"/>
              </w:rPr>
            </w:pPr>
            <w:r>
              <w:rPr>
                <w:rFonts w:hint="eastAsia"/>
                <w:color w:val="auto"/>
              </w:rPr>
              <w:t>本项目劳动定员为6人，职工用水定额按照40L/人·d计，职工生活用水量为0.24m³/d（87.6m³/a）；顾客按每天150人次计，顾客用水定额按10L/人·d计，顾客用水量为1.5m³/d（547.20m³/a）。则生活用水量为1.74m³/d（634.7m³/a）。</w:t>
            </w:r>
          </w:p>
          <w:p>
            <w:pPr>
              <w:pStyle w:val="43"/>
              <w:keepNext w:val="0"/>
              <w:keepLines w:val="0"/>
              <w:pageBreakBefore w:val="0"/>
              <w:widowControl w:val="0"/>
              <w:kinsoku/>
              <w:wordWrap/>
              <w:overflowPunct/>
              <w:topLinePunct w:val="0"/>
              <w:autoSpaceDE/>
              <w:autoSpaceDN/>
              <w:bidi w:val="0"/>
              <w:adjustRightInd/>
              <w:snapToGrid/>
              <w:ind w:firstLine="512" w:firstLineChars="200"/>
              <w:textAlignment w:val="auto"/>
              <w:rPr>
                <w:rFonts w:hint="eastAsia"/>
                <w:color w:val="auto"/>
              </w:rPr>
            </w:pPr>
            <w:r>
              <w:rPr>
                <w:rFonts w:hint="eastAsia"/>
                <w:color w:val="auto"/>
              </w:rPr>
              <w:t>②绿化用水</w:t>
            </w:r>
          </w:p>
          <w:p>
            <w:pPr>
              <w:pStyle w:val="43"/>
              <w:keepNext w:val="0"/>
              <w:keepLines w:val="0"/>
              <w:pageBreakBefore w:val="0"/>
              <w:widowControl w:val="0"/>
              <w:kinsoku/>
              <w:wordWrap/>
              <w:overflowPunct/>
              <w:topLinePunct w:val="0"/>
              <w:autoSpaceDE/>
              <w:autoSpaceDN/>
              <w:bidi w:val="0"/>
              <w:adjustRightInd/>
              <w:snapToGrid/>
              <w:ind w:firstLine="512" w:firstLineChars="200"/>
              <w:textAlignment w:val="auto"/>
              <w:rPr>
                <w:rFonts w:hint="eastAsia"/>
                <w:color w:val="auto"/>
              </w:rPr>
            </w:pPr>
            <w:r>
              <w:rPr>
                <w:rFonts w:hint="eastAsia"/>
                <w:color w:val="auto"/>
              </w:rPr>
              <w:t>本项目绿化面积为1200m</w:t>
            </w:r>
            <w:r>
              <w:rPr>
                <w:rFonts w:hint="eastAsia"/>
                <w:color w:val="auto"/>
                <w:vertAlign w:val="superscript"/>
              </w:rPr>
              <w:t>2</w:t>
            </w:r>
            <w:r>
              <w:rPr>
                <w:rFonts w:hint="eastAsia"/>
                <w:color w:val="auto"/>
              </w:rPr>
              <w:t>，根据《自治区人民政府办公厅关于印发宁夏用水定额</w:t>
            </w:r>
            <w:r>
              <w:rPr>
                <w:rFonts w:hint="eastAsia"/>
                <w:color w:val="auto"/>
                <w:lang w:eastAsia="zh-CN"/>
              </w:rPr>
              <w:t>（</w:t>
            </w:r>
            <w:r>
              <w:rPr>
                <w:rFonts w:hint="eastAsia"/>
                <w:color w:val="auto"/>
                <w:lang w:val="en-US" w:eastAsia="zh-CN"/>
              </w:rPr>
              <w:t>修订</w:t>
            </w:r>
            <w:r>
              <w:rPr>
                <w:rFonts w:hint="eastAsia"/>
                <w:color w:val="auto"/>
                <w:lang w:eastAsia="zh-CN"/>
              </w:rPr>
              <w:t>）</w:t>
            </w:r>
            <w:r>
              <w:rPr>
                <w:rFonts w:hint="eastAsia"/>
                <w:color w:val="auto"/>
              </w:rPr>
              <w:t>的通知》（宁政办发</w:t>
            </w:r>
            <w:r>
              <w:rPr>
                <w:rFonts w:hint="eastAsia" w:ascii="微软雅黑" w:hAnsi="微软雅黑" w:eastAsia="微软雅黑" w:cs="微软雅黑"/>
                <w:color w:val="auto"/>
              </w:rPr>
              <w:t>〔</w:t>
            </w:r>
            <w:r>
              <w:rPr>
                <w:rFonts w:hint="eastAsia"/>
                <w:color w:val="auto"/>
                <w:lang w:val="en-US" w:eastAsia="zh-CN"/>
              </w:rPr>
              <w:t>2020</w:t>
            </w:r>
            <w:r>
              <w:rPr>
                <w:rFonts w:hint="eastAsia" w:ascii="微软雅黑" w:hAnsi="微软雅黑" w:eastAsia="微软雅黑" w:cs="微软雅黑"/>
                <w:color w:val="auto"/>
                <w:lang w:val="en-US" w:eastAsia="zh-CN"/>
              </w:rPr>
              <w:t>〕</w:t>
            </w:r>
            <w:r>
              <w:rPr>
                <w:rFonts w:hint="eastAsia"/>
                <w:color w:val="auto"/>
              </w:rPr>
              <w:t>2</w:t>
            </w:r>
            <w:r>
              <w:rPr>
                <w:rFonts w:hint="eastAsia"/>
                <w:color w:val="auto"/>
                <w:lang w:val="en-US" w:eastAsia="zh-CN"/>
              </w:rPr>
              <w:t>0</w:t>
            </w:r>
            <w:r>
              <w:rPr>
                <w:rFonts w:hint="eastAsia"/>
                <w:color w:val="auto"/>
              </w:rPr>
              <w:t>号），绿化用水定额150L/m</w:t>
            </w:r>
            <w:r>
              <w:rPr>
                <w:rFonts w:hint="eastAsia"/>
                <w:color w:val="auto"/>
                <w:vertAlign w:val="superscript"/>
              </w:rPr>
              <w:t>2</w:t>
            </w:r>
            <w:r>
              <w:rPr>
                <w:rFonts w:hint="eastAsia"/>
                <w:color w:val="auto"/>
              </w:rPr>
              <w:t>·a，则项目绿化用水量为180m³/a。</w:t>
            </w:r>
          </w:p>
          <w:p>
            <w:pPr>
              <w:pStyle w:val="43"/>
              <w:ind w:firstLine="0" w:firstLineChars="0"/>
              <w:rPr>
                <w:rFonts w:eastAsia="黑体"/>
                <w:color w:val="auto"/>
              </w:rPr>
            </w:pPr>
            <w:r>
              <w:rPr>
                <w:rFonts w:hint="eastAsia" w:eastAsia="黑体"/>
                <w:color w:val="auto"/>
                <w:lang w:val="en-US" w:eastAsia="zh-CN"/>
              </w:rPr>
              <w:t>5</w:t>
            </w:r>
            <w:r>
              <w:rPr>
                <w:rFonts w:eastAsia="黑体"/>
                <w:color w:val="auto"/>
              </w:rPr>
              <w:t>.2排水</w:t>
            </w:r>
          </w:p>
          <w:p>
            <w:pPr>
              <w:pStyle w:val="32"/>
              <w:keepNext w:val="0"/>
              <w:keepLines w:val="0"/>
              <w:pageBreakBefore w:val="0"/>
              <w:widowControl w:val="0"/>
              <w:kinsoku/>
              <w:wordWrap/>
              <w:overflowPunct/>
              <w:topLinePunct w:val="0"/>
              <w:autoSpaceDE/>
              <w:autoSpaceDN/>
              <w:bidi w:val="0"/>
              <w:adjustRightInd/>
              <w:snapToGrid/>
              <w:ind w:firstLine="512" w:firstLineChars="200"/>
              <w:jc w:val="left"/>
              <w:textAlignment w:val="auto"/>
              <w:rPr>
                <w:rFonts w:hint="eastAsia"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rPr>
              <w:t>本项目排水主要是生活污水，产生量以用水量的80%计，为1.39m³/d（508.08m³/a）。生活污水经化粪池（</w:t>
            </w:r>
            <w:r>
              <w:rPr>
                <w:rFonts w:hint="default" w:ascii="Times New Roman" w:hAnsi="Times New Roman" w:eastAsia="宋体" w:cs="Times New Roman"/>
                <w:bCs/>
                <w:color w:val="auto"/>
                <w:sz w:val="24"/>
                <w:lang w:val="en-US" w:eastAsia="zh-CN"/>
              </w:rPr>
              <w:t>1</w:t>
            </w:r>
            <w:r>
              <w:rPr>
                <w:rFonts w:hint="default" w:ascii="Times New Roman" w:hAnsi="Times New Roman" w:eastAsia="宋体" w:cs="Times New Roman"/>
                <w:bCs/>
                <w:color w:val="auto"/>
                <w:sz w:val="24"/>
              </w:rPr>
              <w:t>0m³）处理后</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通过市政污水管网排入中宁县第三污水处理厂。</w:t>
            </w:r>
          </w:p>
          <w:p>
            <w:pPr>
              <w:pStyle w:val="55"/>
              <w:ind w:firstLine="512" w:firstLineChars="200"/>
              <w:jc w:val="both"/>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项目给排水水量表见表</w:t>
            </w:r>
            <w:r>
              <w:rPr>
                <w:rFonts w:hint="eastAsia" w:eastAsia="宋体" w:cs="Times New Roman"/>
                <w:bCs/>
                <w:color w:val="auto"/>
                <w:sz w:val="24"/>
                <w:lang w:val="en-US" w:eastAsia="zh-CN"/>
              </w:rPr>
              <w:t>2-7</w:t>
            </w:r>
            <w:r>
              <w:rPr>
                <w:rFonts w:hint="default" w:ascii="Times New Roman" w:hAnsi="Times New Roman" w:eastAsia="宋体" w:cs="Times New Roman"/>
                <w:bCs/>
                <w:color w:val="auto"/>
                <w:sz w:val="24"/>
                <w:lang w:val="en-US" w:eastAsia="zh-CN"/>
              </w:rPr>
              <w:t>，水平衡图见图</w:t>
            </w:r>
            <w:r>
              <w:rPr>
                <w:rFonts w:hint="eastAsia" w:eastAsia="宋体" w:cs="Times New Roman"/>
                <w:bCs/>
                <w:color w:val="auto"/>
                <w:sz w:val="24"/>
                <w:lang w:val="en-US" w:eastAsia="zh-CN"/>
              </w:rPr>
              <w:t>2-3</w:t>
            </w:r>
            <w:r>
              <w:rPr>
                <w:rFonts w:hint="default" w:ascii="Times New Roman" w:hAnsi="Times New Roman" w:eastAsia="宋体" w:cs="Times New Roman"/>
                <w:bCs/>
                <w:color w:val="auto"/>
                <w:sz w:val="24"/>
                <w:lang w:val="en-US" w:eastAsia="zh-CN"/>
              </w:rPr>
              <w:t>。</w:t>
            </w:r>
          </w:p>
          <w:p>
            <w:pPr>
              <w:pStyle w:val="55"/>
              <w:rPr>
                <w:rFonts w:cs="Times New Roman"/>
                <w:color w:val="auto"/>
              </w:rPr>
            </w:pPr>
            <w:r>
              <w:rPr>
                <w:rFonts w:cs="Times New Roman"/>
                <w:color w:val="auto"/>
              </w:rPr>
              <w:t>表2-</w:t>
            </w:r>
            <w:r>
              <w:rPr>
                <w:rFonts w:hint="eastAsia" w:cs="Times New Roman"/>
                <w:color w:val="auto"/>
                <w:lang w:val="en-US" w:eastAsia="zh-CN"/>
              </w:rPr>
              <w:t xml:space="preserve">7  </w:t>
            </w:r>
            <w:r>
              <w:rPr>
                <w:rFonts w:hint="eastAsia" w:cs="Times New Roman"/>
                <w:color w:val="auto"/>
              </w:rPr>
              <w:t>给</w:t>
            </w:r>
            <w:r>
              <w:rPr>
                <w:rFonts w:cs="Times New Roman"/>
                <w:color w:val="auto"/>
              </w:rPr>
              <w:t>排水情况一览表</w:t>
            </w:r>
          </w:p>
          <w:tbl>
            <w:tblPr>
              <w:tblStyle w:val="26"/>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38"/>
              <w:gridCol w:w="897"/>
              <w:gridCol w:w="1144"/>
              <w:gridCol w:w="1317"/>
              <w:gridCol w:w="1663"/>
              <w:gridCol w:w="1541"/>
              <w:gridCol w:w="140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030" w:type="pct"/>
                  <w:gridSpan w:val="2"/>
                  <w:noWrap/>
                  <w:tcMar>
                    <w:top w:w="15" w:type="dxa"/>
                    <w:left w:w="15" w:type="dxa"/>
                    <w:right w:w="15" w:type="dxa"/>
                  </w:tcMar>
                  <w:vAlign w:val="center"/>
                </w:tcPr>
                <w:p>
                  <w:pPr>
                    <w:pStyle w:val="64"/>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642" w:type="pct"/>
                  <w:tcMar>
                    <w:top w:w="15" w:type="dxa"/>
                    <w:left w:w="15" w:type="dxa"/>
                    <w:right w:w="15" w:type="dxa"/>
                  </w:tcMar>
                  <w:vAlign w:val="center"/>
                </w:tcPr>
                <w:p>
                  <w:pPr>
                    <w:pStyle w:val="64"/>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用水</w:t>
                  </w:r>
                  <w:r>
                    <w:rPr>
                      <w:rFonts w:hint="default" w:ascii="Times New Roman" w:hAnsi="Times New Roman" w:eastAsia="宋体" w:cs="Times New Roman"/>
                      <w:b/>
                      <w:bCs/>
                      <w:color w:val="auto"/>
                      <w:sz w:val="21"/>
                      <w:szCs w:val="21"/>
                      <w:lang w:val="en-US" w:eastAsia="zh-CN"/>
                    </w:rPr>
                    <w:t>定额</w:t>
                  </w:r>
                </w:p>
              </w:tc>
              <w:tc>
                <w:tcPr>
                  <w:tcW w:w="739" w:type="pct"/>
                  <w:noWrap/>
                  <w:tcMar>
                    <w:top w:w="15" w:type="dxa"/>
                    <w:left w:w="15" w:type="dxa"/>
                    <w:right w:w="15" w:type="dxa"/>
                  </w:tcMar>
                  <w:vAlign w:val="center"/>
                </w:tcPr>
                <w:p>
                  <w:pPr>
                    <w:pStyle w:val="64"/>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用水量</w:t>
                  </w:r>
                </w:p>
              </w:tc>
              <w:tc>
                <w:tcPr>
                  <w:tcW w:w="933" w:type="pct"/>
                  <w:noWrap/>
                  <w:tcMar>
                    <w:top w:w="15" w:type="dxa"/>
                    <w:left w:w="15" w:type="dxa"/>
                    <w:right w:w="15" w:type="dxa"/>
                  </w:tcMar>
                  <w:vAlign w:val="center"/>
                </w:tcPr>
                <w:p>
                  <w:pPr>
                    <w:pStyle w:val="64"/>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损耗量</w:t>
                  </w:r>
                </w:p>
              </w:tc>
              <w:tc>
                <w:tcPr>
                  <w:tcW w:w="865" w:type="pct"/>
                  <w:noWrap/>
                  <w:tcMar>
                    <w:top w:w="15" w:type="dxa"/>
                    <w:left w:w="15" w:type="dxa"/>
                    <w:right w:w="15" w:type="dxa"/>
                  </w:tcMar>
                  <w:vAlign w:val="center"/>
                </w:tcPr>
                <w:p>
                  <w:pPr>
                    <w:pStyle w:val="64"/>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sz w:val="21"/>
                      <w:szCs w:val="21"/>
                      <w:lang w:val="en-US" w:eastAsia="zh-CN"/>
                    </w:rPr>
                    <w:t>废水产生量</w:t>
                  </w:r>
                </w:p>
              </w:tc>
              <w:tc>
                <w:tcPr>
                  <w:tcW w:w="789" w:type="pct"/>
                  <w:noWrap/>
                  <w:tcMar>
                    <w:top w:w="15" w:type="dxa"/>
                    <w:left w:w="15" w:type="dxa"/>
                    <w:right w:w="15" w:type="dxa"/>
                  </w:tcMar>
                  <w:vAlign w:val="center"/>
                </w:tcPr>
                <w:p>
                  <w:pPr>
                    <w:pStyle w:val="64"/>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废水排放量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26" w:type="pct"/>
                  <w:vMerge w:val="restart"/>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生活用水</w:t>
                  </w:r>
                </w:p>
              </w:tc>
              <w:tc>
                <w:tcPr>
                  <w:tcW w:w="503" w:type="pct"/>
                  <w:noWrap/>
                  <w:tcMar>
                    <w:top w:w="15" w:type="dxa"/>
                    <w:left w:w="15" w:type="dxa"/>
                    <w:right w:w="15" w:type="dxa"/>
                  </w:tcMar>
                  <w:vAlign w:val="center"/>
                </w:tcPr>
                <w:p>
                  <w:pPr>
                    <w:pStyle w:val="64"/>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职工</w:t>
                  </w:r>
                </w:p>
              </w:tc>
              <w:tc>
                <w:tcPr>
                  <w:tcW w:w="642" w:type="pct"/>
                  <w:tcMar>
                    <w:top w:w="15" w:type="dxa"/>
                    <w:left w:w="15" w:type="dxa"/>
                    <w:right w:w="15" w:type="dxa"/>
                  </w:tcMar>
                  <w:vAlign w:val="center"/>
                </w:tcPr>
                <w:p>
                  <w:pPr>
                    <w:pStyle w:val="64"/>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40L/人·d</w:t>
                  </w:r>
                </w:p>
              </w:tc>
              <w:tc>
                <w:tcPr>
                  <w:tcW w:w="739" w:type="pct"/>
                  <w:noWrap/>
                  <w:tcMar>
                    <w:top w:w="15" w:type="dxa"/>
                    <w:left w:w="15" w:type="dxa"/>
                    <w:right w:w="15" w:type="dxa"/>
                  </w:tcMar>
                  <w:vAlign w:val="center"/>
                </w:tcPr>
                <w:p>
                  <w:pPr>
                    <w:pStyle w:val="64"/>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87.5</w:t>
                  </w:r>
                </w:p>
              </w:tc>
              <w:tc>
                <w:tcPr>
                  <w:tcW w:w="933" w:type="pct"/>
                  <w:noWrap/>
                  <w:tcMar>
                    <w:top w:w="15" w:type="dxa"/>
                    <w:left w:w="15" w:type="dxa"/>
                    <w:right w:w="15" w:type="dxa"/>
                  </w:tcMar>
                  <w:vAlign w:val="center"/>
                </w:tcPr>
                <w:p>
                  <w:pPr>
                    <w:pStyle w:val="64"/>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17.52</w:t>
                  </w:r>
                </w:p>
              </w:tc>
              <w:tc>
                <w:tcPr>
                  <w:tcW w:w="865" w:type="pct"/>
                  <w:noWrap/>
                  <w:tcMar>
                    <w:top w:w="15" w:type="dxa"/>
                    <w:left w:w="15" w:type="dxa"/>
                    <w:right w:w="15" w:type="dxa"/>
                  </w:tcMar>
                  <w:vAlign w:val="center"/>
                </w:tcPr>
                <w:p>
                  <w:pPr>
                    <w:pStyle w:val="64"/>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70.08</w:t>
                  </w:r>
                </w:p>
              </w:tc>
              <w:tc>
                <w:tcPr>
                  <w:tcW w:w="789" w:type="pct"/>
                  <w:noWrap/>
                  <w:tcMar>
                    <w:top w:w="15" w:type="dxa"/>
                    <w:left w:w="15" w:type="dxa"/>
                    <w:right w:w="15" w:type="dxa"/>
                  </w:tcMar>
                  <w:vAlign w:val="center"/>
                </w:tcPr>
                <w:p>
                  <w:pPr>
                    <w:pStyle w:val="64"/>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70.08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26" w:type="pct"/>
                  <w:vMerge w:val="continue"/>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lang w:val="en-US" w:eastAsia="zh-CN"/>
                    </w:rPr>
                  </w:pPr>
                </w:p>
              </w:tc>
              <w:tc>
                <w:tcPr>
                  <w:tcW w:w="503" w:type="pct"/>
                  <w:noWrap/>
                  <w:tcMar>
                    <w:top w:w="15" w:type="dxa"/>
                    <w:left w:w="15" w:type="dxa"/>
                    <w:right w:w="15" w:type="dxa"/>
                  </w:tcMar>
                  <w:vAlign w:val="center"/>
                </w:tcPr>
                <w:p>
                  <w:pPr>
                    <w:pStyle w:val="64"/>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顾客</w:t>
                  </w:r>
                </w:p>
              </w:tc>
              <w:tc>
                <w:tcPr>
                  <w:tcW w:w="642" w:type="pct"/>
                  <w:tcMar>
                    <w:top w:w="15" w:type="dxa"/>
                    <w:left w:w="15" w:type="dxa"/>
                    <w:right w:w="15" w:type="dxa"/>
                  </w:tcMar>
                  <w:vAlign w:val="center"/>
                </w:tcPr>
                <w:p>
                  <w:pPr>
                    <w:pStyle w:val="64"/>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0L/人·d</w:t>
                  </w:r>
                </w:p>
              </w:tc>
              <w:tc>
                <w:tcPr>
                  <w:tcW w:w="739" w:type="pct"/>
                  <w:noWrap/>
                  <w:tcMar>
                    <w:top w:w="15" w:type="dxa"/>
                    <w:left w:w="15" w:type="dxa"/>
                    <w:right w:w="15" w:type="dxa"/>
                  </w:tcMar>
                  <w:vAlign w:val="center"/>
                </w:tcPr>
                <w:p>
                  <w:pPr>
                    <w:pStyle w:val="64"/>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547.5</w:t>
                  </w:r>
                </w:p>
              </w:tc>
              <w:tc>
                <w:tcPr>
                  <w:tcW w:w="933" w:type="pct"/>
                  <w:noWrap/>
                  <w:tcMar>
                    <w:top w:w="15" w:type="dxa"/>
                    <w:left w:w="15" w:type="dxa"/>
                    <w:right w:w="15" w:type="dxa"/>
                  </w:tcMar>
                  <w:vAlign w:val="center"/>
                </w:tcPr>
                <w:p>
                  <w:pPr>
                    <w:pStyle w:val="64"/>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109.5</w:t>
                  </w:r>
                </w:p>
              </w:tc>
              <w:tc>
                <w:tcPr>
                  <w:tcW w:w="865" w:type="pct"/>
                  <w:noWrap/>
                  <w:tcMar>
                    <w:top w:w="15" w:type="dxa"/>
                    <w:left w:w="15" w:type="dxa"/>
                    <w:right w:w="15" w:type="dxa"/>
                  </w:tcMar>
                  <w:vAlign w:val="center"/>
                </w:tcPr>
                <w:p>
                  <w:pPr>
                    <w:pStyle w:val="64"/>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438</w:t>
                  </w:r>
                </w:p>
              </w:tc>
              <w:tc>
                <w:tcPr>
                  <w:tcW w:w="789" w:type="pct"/>
                  <w:noWrap/>
                  <w:tcMar>
                    <w:top w:w="15" w:type="dxa"/>
                    <w:left w:w="15" w:type="dxa"/>
                    <w:right w:w="15" w:type="dxa"/>
                  </w:tcMar>
                  <w:vAlign w:val="center"/>
                </w:tcPr>
                <w:p>
                  <w:pPr>
                    <w:pStyle w:val="64"/>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26" w:type="pct"/>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绿化用水</w:t>
                  </w:r>
                </w:p>
              </w:tc>
              <w:tc>
                <w:tcPr>
                  <w:tcW w:w="503" w:type="pct"/>
                  <w:noWrap/>
                  <w:tcMar>
                    <w:top w:w="15" w:type="dxa"/>
                    <w:left w:w="15" w:type="dxa"/>
                    <w:right w:w="15" w:type="dxa"/>
                  </w:tcMar>
                  <w:vAlign w:val="center"/>
                </w:tcPr>
                <w:p>
                  <w:pPr>
                    <w:pStyle w:val="64"/>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642" w:type="pct"/>
                  <w:tcMar>
                    <w:top w:w="15" w:type="dxa"/>
                    <w:left w:w="15" w:type="dxa"/>
                    <w:right w:w="15" w:type="dxa"/>
                  </w:tcMar>
                  <w:vAlign w:val="center"/>
                </w:tcPr>
                <w:p>
                  <w:pPr>
                    <w:pStyle w:val="64"/>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150L/m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a</w:t>
                  </w:r>
                </w:p>
              </w:tc>
              <w:tc>
                <w:tcPr>
                  <w:tcW w:w="739" w:type="pct"/>
                  <w:noWrap/>
                  <w:tcMar>
                    <w:top w:w="15" w:type="dxa"/>
                    <w:left w:w="15" w:type="dxa"/>
                    <w:right w:w="15" w:type="dxa"/>
                  </w:tcMar>
                  <w:vAlign w:val="center"/>
                </w:tcPr>
                <w:p>
                  <w:pPr>
                    <w:pStyle w:val="64"/>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w:t>
                  </w:r>
                </w:p>
              </w:tc>
              <w:tc>
                <w:tcPr>
                  <w:tcW w:w="933" w:type="pct"/>
                  <w:noWrap/>
                  <w:tcMar>
                    <w:top w:w="15" w:type="dxa"/>
                    <w:left w:w="15" w:type="dxa"/>
                    <w:right w:w="15" w:type="dxa"/>
                  </w:tcMar>
                  <w:vAlign w:val="center"/>
                </w:tcPr>
                <w:p>
                  <w:pPr>
                    <w:pStyle w:val="64"/>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w:t>
                  </w:r>
                </w:p>
              </w:tc>
              <w:tc>
                <w:tcPr>
                  <w:tcW w:w="865" w:type="pct"/>
                  <w:noWrap/>
                  <w:tcMar>
                    <w:top w:w="15" w:type="dxa"/>
                    <w:left w:w="15" w:type="dxa"/>
                    <w:right w:w="15" w:type="dxa"/>
                  </w:tcMar>
                  <w:vAlign w:val="center"/>
                </w:tcPr>
                <w:p>
                  <w:pPr>
                    <w:pStyle w:val="64"/>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789" w:type="pct"/>
                  <w:noWrap/>
                  <w:tcMar>
                    <w:top w:w="15" w:type="dxa"/>
                    <w:left w:w="15" w:type="dxa"/>
                    <w:right w:w="15" w:type="dxa"/>
                  </w:tcMar>
                  <w:vAlign w:val="center"/>
                </w:tcPr>
                <w:p>
                  <w:pPr>
                    <w:pStyle w:val="64"/>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26" w:type="pct"/>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总计</w:t>
                  </w:r>
                </w:p>
              </w:tc>
              <w:tc>
                <w:tcPr>
                  <w:tcW w:w="503" w:type="pct"/>
                  <w:noWrap/>
                  <w:tcMar>
                    <w:top w:w="15" w:type="dxa"/>
                    <w:left w:w="15" w:type="dxa"/>
                    <w:right w:w="15" w:type="dxa"/>
                  </w:tcMar>
                  <w:vAlign w:val="center"/>
                </w:tcPr>
                <w:p>
                  <w:pPr>
                    <w:pStyle w:val="64"/>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auto"/>
                      <w:sz w:val="21"/>
                      <w:szCs w:val="21"/>
                      <w:lang w:eastAsia="zh-CN"/>
                    </w:rPr>
                  </w:pPr>
                </w:p>
              </w:tc>
              <w:tc>
                <w:tcPr>
                  <w:tcW w:w="642" w:type="pct"/>
                  <w:tcMar>
                    <w:top w:w="15" w:type="dxa"/>
                    <w:left w:w="15" w:type="dxa"/>
                    <w:right w:w="15" w:type="dxa"/>
                  </w:tcMar>
                  <w:vAlign w:val="center"/>
                </w:tcPr>
                <w:p>
                  <w:pPr>
                    <w:pStyle w:val="64"/>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39" w:type="pct"/>
                  <w:noWrap/>
                  <w:tcMar>
                    <w:top w:w="15" w:type="dxa"/>
                    <w:left w:w="15" w:type="dxa"/>
                    <w:right w:w="15" w:type="dxa"/>
                  </w:tcMar>
                  <w:vAlign w:val="center"/>
                </w:tcPr>
                <w:p>
                  <w:pPr>
                    <w:pStyle w:val="64"/>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812.55</w:t>
                  </w:r>
                </w:p>
              </w:tc>
              <w:tc>
                <w:tcPr>
                  <w:tcW w:w="933" w:type="pct"/>
                  <w:noWrap/>
                  <w:tcMar>
                    <w:top w:w="15" w:type="dxa"/>
                    <w:left w:w="15" w:type="dxa"/>
                    <w:right w:w="15" w:type="dxa"/>
                  </w:tcMar>
                  <w:vAlign w:val="center"/>
                </w:tcPr>
                <w:p>
                  <w:pPr>
                    <w:pStyle w:val="64"/>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304.52</w:t>
                  </w:r>
                </w:p>
              </w:tc>
              <w:tc>
                <w:tcPr>
                  <w:tcW w:w="865" w:type="pct"/>
                  <w:noWrap/>
                  <w:tcMar>
                    <w:top w:w="15" w:type="dxa"/>
                    <w:left w:w="15" w:type="dxa"/>
                    <w:right w:w="15" w:type="dxa"/>
                  </w:tcMar>
                  <w:vAlign w:val="center"/>
                </w:tcPr>
                <w:p>
                  <w:pPr>
                    <w:pStyle w:val="64"/>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508.08</w:t>
                  </w:r>
                </w:p>
              </w:tc>
              <w:tc>
                <w:tcPr>
                  <w:tcW w:w="789" w:type="pct"/>
                  <w:noWrap/>
                  <w:tcMar>
                    <w:top w:w="15" w:type="dxa"/>
                    <w:left w:w="15" w:type="dxa"/>
                    <w:right w:w="15" w:type="dxa"/>
                  </w:tcMar>
                  <w:vAlign w:val="center"/>
                </w:tcPr>
                <w:p>
                  <w:pPr>
                    <w:pStyle w:val="64"/>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508.08</w:t>
                  </w:r>
                </w:p>
              </w:tc>
            </w:tr>
          </w:tbl>
          <w:p>
            <w:pPr>
              <w:pStyle w:val="81"/>
              <w:jc w:val="center"/>
              <w:rPr>
                <w:rFonts w:hint="eastAsia" w:eastAsia="黑体"/>
                <w:b w:val="0"/>
                <w:color w:val="auto"/>
                <w:lang w:val="en-US" w:eastAsia="zh-CN"/>
              </w:rPr>
            </w:pPr>
            <w:r>
              <w:rPr>
                <w:rFonts w:hint="eastAsia" w:eastAsia="黑体"/>
                <w:b w:val="0"/>
                <w:color w:val="auto"/>
                <w:lang w:val="en-US" w:eastAsia="zh-CN"/>
              </w:rPr>
              <w:t xml:space="preserve">  </w:t>
            </w:r>
          </w:p>
          <w:p>
            <w:pPr>
              <w:pStyle w:val="81"/>
              <w:jc w:val="center"/>
              <w:rPr>
                <w:rFonts w:eastAsia="黑体"/>
                <w:b w:val="0"/>
                <w:color w:val="auto"/>
              </w:rPr>
            </w:pPr>
            <w:r>
              <w:rPr>
                <w:color w:val="auto"/>
              </w:rPr>
              <w:drawing>
                <wp:anchor distT="0" distB="0" distL="114300" distR="114300" simplePos="0" relativeHeight="251659264" behindDoc="0" locked="0" layoutInCell="1" allowOverlap="1">
                  <wp:simplePos x="0" y="0"/>
                  <wp:positionH relativeFrom="column">
                    <wp:posOffset>688340</wp:posOffset>
                  </wp:positionH>
                  <wp:positionV relativeFrom="paragraph">
                    <wp:posOffset>13970</wp:posOffset>
                  </wp:positionV>
                  <wp:extent cx="4278630" cy="1370330"/>
                  <wp:effectExtent l="0" t="0" r="7620" b="127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rcRect t="1855" r="26509"/>
                          <a:stretch>
                            <a:fillRect/>
                          </a:stretch>
                        </pic:blipFill>
                        <pic:spPr>
                          <a:xfrm>
                            <a:off x="0" y="0"/>
                            <a:ext cx="4278630" cy="1370330"/>
                          </a:xfrm>
                          <a:prstGeom prst="rect">
                            <a:avLst/>
                          </a:prstGeom>
                          <a:noFill/>
                          <a:ln>
                            <a:noFill/>
                          </a:ln>
                        </pic:spPr>
                      </pic:pic>
                    </a:graphicData>
                  </a:graphic>
                </wp:anchor>
              </w:drawing>
            </w:r>
            <w:r>
              <w:rPr>
                <w:rFonts w:hint="eastAsia" w:eastAsia="黑体"/>
                <w:b w:val="0"/>
                <w:color w:val="auto"/>
                <w:lang w:val="en-US" w:eastAsia="zh-CN"/>
              </w:rPr>
              <w:t xml:space="preserve">图2-3  项目水平衡图      </w:t>
            </w:r>
            <w:r>
              <w:rPr>
                <w:rFonts w:hint="eastAsia" w:eastAsia="黑体"/>
                <w:b w:val="0"/>
                <w:color w:val="auto"/>
                <w:sz w:val="21"/>
                <w:szCs w:val="18"/>
                <w:lang w:val="en-US" w:eastAsia="zh-CN"/>
              </w:rPr>
              <w:t>单位：m³/a</w:t>
            </w:r>
          </w:p>
          <w:p>
            <w:pPr>
              <w:pStyle w:val="43"/>
              <w:ind w:left="0" w:leftChars="0" w:firstLine="0" w:firstLineChars="0"/>
              <w:rPr>
                <w:rFonts w:eastAsia="黑体"/>
                <w:b w:val="0"/>
                <w:color w:val="auto"/>
              </w:rPr>
            </w:pPr>
            <w:r>
              <w:rPr>
                <w:rFonts w:hint="eastAsia" w:eastAsia="黑体"/>
                <w:b w:val="0"/>
                <w:color w:val="auto"/>
                <w:lang w:val="en-US" w:eastAsia="zh-CN"/>
              </w:rPr>
              <w:t>5</w:t>
            </w:r>
            <w:r>
              <w:rPr>
                <w:rFonts w:eastAsia="黑体"/>
                <w:b w:val="0"/>
                <w:color w:val="auto"/>
              </w:rPr>
              <w:t>.3供电</w:t>
            </w:r>
          </w:p>
          <w:p>
            <w:pPr>
              <w:pStyle w:val="43"/>
              <w:ind w:left="0" w:leftChars="0" w:firstLine="512" w:firstLineChars="200"/>
              <w:rPr>
                <w:color w:val="auto"/>
              </w:rPr>
            </w:pPr>
            <w:r>
              <w:rPr>
                <w:rFonts w:hint="eastAsia"/>
                <w:color w:val="auto"/>
              </w:rPr>
              <w:t>本项目用电由市政供电系统供给。</w:t>
            </w:r>
          </w:p>
          <w:p>
            <w:pPr>
              <w:pStyle w:val="81"/>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eastAsia="黑体"/>
                <w:b w:val="0"/>
                <w:color w:val="auto"/>
              </w:rPr>
            </w:pPr>
            <w:r>
              <w:rPr>
                <w:rFonts w:hint="eastAsia" w:eastAsia="黑体"/>
                <w:b w:val="0"/>
                <w:color w:val="auto"/>
                <w:lang w:val="en-US" w:eastAsia="zh-CN"/>
              </w:rPr>
              <w:t>5</w:t>
            </w:r>
            <w:r>
              <w:rPr>
                <w:rFonts w:eastAsia="黑体"/>
                <w:b w:val="0"/>
                <w:color w:val="auto"/>
              </w:rPr>
              <w:t>.4供暖</w:t>
            </w:r>
          </w:p>
          <w:p>
            <w:pPr>
              <w:pStyle w:val="62"/>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eastAsia="宋体" w:cs="Times New Roman"/>
                <w:b w:val="0"/>
                <w:bCs w:val="0"/>
                <w:color w:val="auto"/>
                <w:sz w:val="24"/>
                <w:lang w:eastAsia="zh-CN"/>
              </w:rPr>
            </w:pPr>
            <w:r>
              <w:rPr>
                <w:rFonts w:hint="default" w:ascii="Times New Roman" w:hAnsi="Times New Roman" w:cs="Times New Roman"/>
                <w:b w:val="0"/>
                <w:bCs w:val="0"/>
                <w:color w:val="auto"/>
                <w:sz w:val="24"/>
              </w:rPr>
              <w:t>项目站房采用分体式空调冬季供暖，夏季制冷</w:t>
            </w:r>
            <w:r>
              <w:rPr>
                <w:rFonts w:hint="default" w:ascii="Times New Roman" w:hAnsi="Times New Roman" w:cs="Times New Roman"/>
                <w:b w:val="0"/>
                <w:bCs w:val="0"/>
                <w:color w:val="auto"/>
                <w:sz w:val="24"/>
                <w:lang w:eastAsia="zh-CN"/>
              </w:rPr>
              <w:t>。</w:t>
            </w:r>
          </w:p>
          <w:p>
            <w:pPr>
              <w:pStyle w:val="6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eastAsia="黑体"/>
                <w:b w:val="0"/>
                <w:color w:val="auto"/>
                <w:kern w:val="44"/>
                <w:sz w:val="24"/>
                <w:szCs w:val="24"/>
              </w:rPr>
            </w:pPr>
            <w:r>
              <w:rPr>
                <w:rFonts w:hint="eastAsia" w:eastAsia="黑体"/>
                <w:b w:val="0"/>
                <w:color w:val="auto"/>
                <w:kern w:val="44"/>
                <w:sz w:val="24"/>
                <w:szCs w:val="24"/>
                <w:lang w:val="en-US" w:eastAsia="zh-CN"/>
              </w:rPr>
              <w:t>6</w:t>
            </w:r>
            <w:r>
              <w:rPr>
                <w:rFonts w:eastAsia="黑体"/>
                <w:b w:val="0"/>
                <w:color w:val="auto"/>
                <w:kern w:val="44"/>
                <w:sz w:val="24"/>
                <w:szCs w:val="24"/>
              </w:rPr>
              <w:t>工作制度与劳动定员</w:t>
            </w:r>
          </w:p>
          <w:p>
            <w:pPr>
              <w:pStyle w:val="62"/>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rPr>
              <w:t>本项目新增劳动定员</w:t>
            </w:r>
            <w:r>
              <w:rPr>
                <w:rFonts w:hint="default" w:ascii="Times New Roman" w:hAnsi="Times New Roman" w:eastAsia="宋体" w:cs="Times New Roman"/>
                <w:b w:val="0"/>
                <w:bCs/>
                <w:color w:val="auto"/>
                <w:sz w:val="24"/>
                <w:szCs w:val="24"/>
                <w:lang w:val="en-US" w:eastAsia="zh-CN"/>
              </w:rPr>
              <w:t>6人</w:t>
            </w:r>
            <w:r>
              <w:rPr>
                <w:rFonts w:hint="default" w:ascii="Times New Roman" w:hAnsi="Times New Roman" w:eastAsia="宋体" w:cs="Times New Roman"/>
                <w:b w:val="0"/>
                <w:bCs/>
                <w:color w:val="auto"/>
                <w:sz w:val="24"/>
                <w:szCs w:val="24"/>
              </w:rPr>
              <w:t>，工作制度为三班24h工作制，年生产天数365d</w:t>
            </w:r>
            <w:r>
              <w:rPr>
                <w:rFonts w:hint="default" w:ascii="Times New Roman" w:hAnsi="Times New Roman" w:eastAsia="宋体" w:cs="Times New Roman"/>
                <w:b w:val="0"/>
                <w:bCs/>
                <w:color w:val="auto"/>
                <w:sz w:val="24"/>
                <w:szCs w:val="24"/>
                <w:lang w:eastAsia="zh-CN"/>
              </w:rPr>
              <w:t>。</w:t>
            </w:r>
          </w:p>
          <w:p>
            <w:pPr>
              <w:pStyle w:val="6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eastAsia="黑体"/>
                <w:b w:val="0"/>
                <w:color w:val="auto"/>
                <w:kern w:val="44"/>
                <w:sz w:val="24"/>
                <w:szCs w:val="24"/>
              </w:rPr>
            </w:pPr>
            <w:r>
              <w:rPr>
                <w:rFonts w:hint="eastAsia" w:eastAsia="黑体"/>
                <w:b w:val="0"/>
                <w:color w:val="auto"/>
                <w:kern w:val="44"/>
                <w:sz w:val="24"/>
                <w:szCs w:val="24"/>
                <w:lang w:val="en-US" w:eastAsia="zh-CN"/>
              </w:rPr>
              <w:t>7</w:t>
            </w:r>
            <w:r>
              <w:rPr>
                <w:rFonts w:eastAsia="黑体"/>
                <w:b w:val="0"/>
                <w:color w:val="auto"/>
                <w:kern w:val="44"/>
                <w:sz w:val="24"/>
                <w:szCs w:val="24"/>
              </w:rPr>
              <w:t>厂区平面布置</w:t>
            </w:r>
          </w:p>
          <w:p>
            <w:pPr>
              <w:pStyle w:val="62"/>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eastAsia" w:ascii="Times New Roman" w:hAnsi="Times New Roman" w:eastAsia="宋体" w:cs="Times New Roman"/>
                <w:b w:val="0"/>
                <w:color w:val="auto"/>
                <w:kern w:val="44"/>
                <w:sz w:val="24"/>
                <w:szCs w:val="24"/>
                <w:lang w:eastAsia="zh-CN"/>
              </w:rPr>
            </w:pPr>
            <w:r>
              <w:rPr>
                <w:rFonts w:hint="default" w:ascii="Times New Roman" w:hAnsi="Times New Roman" w:eastAsia="宋体" w:cs="Times New Roman"/>
                <w:b w:val="0"/>
                <w:color w:val="auto"/>
                <w:kern w:val="44"/>
                <w:sz w:val="24"/>
                <w:szCs w:val="24"/>
              </w:rPr>
              <w:t>加油站按火灾危险性分类属于甲类场所，站区平面布局严格按现行防火规范的有关规定布置。在满足规范要求的最小防火间距以及进出车辆的回车场地的前提下，力求作到布局合理，布置紧凑，节约用地。</w:t>
            </w:r>
          </w:p>
          <w:p>
            <w:pPr>
              <w:pStyle w:val="62"/>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eastAsia="宋体" w:cs="Times New Roman"/>
                <w:b w:val="0"/>
                <w:color w:val="auto"/>
                <w:kern w:val="44"/>
                <w:sz w:val="24"/>
                <w:szCs w:val="24"/>
                <w:lang w:eastAsia="zh-CN"/>
              </w:rPr>
            </w:pPr>
            <w:r>
              <w:rPr>
                <w:rFonts w:hint="default" w:ascii="Times New Roman" w:hAnsi="Times New Roman" w:eastAsia="宋体" w:cs="Times New Roman"/>
                <w:b w:val="0"/>
                <w:color w:val="auto"/>
                <w:kern w:val="44"/>
                <w:sz w:val="24"/>
                <w:szCs w:val="24"/>
              </w:rPr>
              <w:t>罐区位于站区</w:t>
            </w:r>
            <w:r>
              <w:rPr>
                <w:rFonts w:hint="default" w:ascii="Times New Roman" w:hAnsi="Times New Roman" w:eastAsia="宋体" w:cs="Times New Roman"/>
                <w:b w:val="0"/>
                <w:color w:val="auto"/>
                <w:kern w:val="44"/>
                <w:sz w:val="24"/>
                <w:szCs w:val="24"/>
                <w:lang w:val="en-US" w:eastAsia="zh-CN"/>
              </w:rPr>
              <w:t>南侧</w:t>
            </w:r>
            <w:r>
              <w:rPr>
                <w:rFonts w:hint="default" w:ascii="Times New Roman" w:hAnsi="Times New Roman" w:eastAsia="宋体" w:cs="Times New Roman"/>
                <w:b w:val="0"/>
                <w:color w:val="auto"/>
                <w:kern w:val="44"/>
                <w:sz w:val="24"/>
                <w:szCs w:val="24"/>
              </w:rPr>
              <w:t>中部</w:t>
            </w:r>
            <w:r>
              <w:rPr>
                <w:rFonts w:hint="default" w:ascii="Times New Roman" w:hAnsi="Times New Roman" w:eastAsia="宋体" w:cs="Times New Roman"/>
                <w:b w:val="0"/>
                <w:color w:val="auto"/>
                <w:kern w:val="44"/>
                <w:sz w:val="24"/>
                <w:szCs w:val="24"/>
                <w:lang w:val="en-US" w:eastAsia="zh-CN"/>
              </w:rPr>
              <w:t>位置</w:t>
            </w:r>
            <w:r>
              <w:rPr>
                <w:rFonts w:hint="default" w:ascii="Times New Roman" w:hAnsi="Times New Roman" w:eastAsia="宋体" w:cs="Times New Roman"/>
                <w:b w:val="0"/>
                <w:color w:val="auto"/>
                <w:kern w:val="44"/>
                <w:sz w:val="24"/>
                <w:szCs w:val="24"/>
              </w:rPr>
              <w:t>，罐区自</w:t>
            </w:r>
            <w:r>
              <w:rPr>
                <w:rFonts w:hint="eastAsia" w:ascii="Times New Roman" w:hAnsi="Times New Roman" w:eastAsia="宋体" w:cs="Times New Roman"/>
                <w:b w:val="0"/>
                <w:color w:val="auto"/>
                <w:kern w:val="44"/>
                <w:sz w:val="24"/>
                <w:szCs w:val="24"/>
                <w:lang w:val="en-US" w:eastAsia="zh-CN"/>
              </w:rPr>
              <w:t>西</w:t>
            </w:r>
            <w:r>
              <w:rPr>
                <w:rFonts w:hint="default" w:ascii="Times New Roman" w:hAnsi="Times New Roman" w:eastAsia="宋体" w:cs="Times New Roman"/>
                <w:b w:val="0"/>
                <w:color w:val="auto"/>
                <w:kern w:val="44"/>
                <w:sz w:val="24"/>
                <w:szCs w:val="24"/>
              </w:rPr>
              <w:t>向</w:t>
            </w:r>
            <w:r>
              <w:rPr>
                <w:rFonts w:hint="eastAsia" w:ascii="Times New Roman" w:hAnsi="Times New Roman" w:eastAsia="宋体" w:cs="Times New Roman"/>
                <w:b w:val="0"/>
                <w:color w:val="auto"/>
                <w:kern w:val="44"/>
                <w:sz w:val="24"/>
                <w:szCs w:val="24"/>
                <w:lang w:val="en-US" w:eastAsia="zh-CN"/>
              </w:rPr>
              <w:t>东</w:t>
            </w:r>
            <w:r>
              <w:rPr>
                <w:rFonts w:hint="default" w:ascii="Times New Roman" w:hAnsi="Times New Roman" w:eastAsia="宋体" w:cs="Times New Roman"/>
                <w:b w:val="0"/>
                <w:color w:val="auto"/>
                <w:kern w:val="44"/>
                <w:sz w:val="24"/>
                <w:szCs w:val="24"/>
              </w:rPr>
              <w:t>依次设置2个</w:t>
            </w:r>
            <w:r>
              <w:rPr>
                <w:rFonts w:hint="eastAsia" w:ascii="Times New Roman" w:hAnsi="Times New Roman" w:eastAsia="宋体" w:cs="Times New Roman"/>
                <w:b w:val="0"/>
                <w:color w:val="auto"/>
                <w:kern w:val="44"/>
                <w:sz w:val="24"/>
                <w:szCs w:val="24"/>
                <w:lang w:val="en-US" w:eastAsia="zh-CN"/>
              </w:rPr>
              <w:t>5</w:t>
            </w:r>
            <w:r>
              <w:rPr>
                <w:rFonts w:hint="default" w:ascii="Times New Roman" w:hAnsi="Times New Roman" w:eastAsia="宋体" w:cs="Times New Roman"/>
                <w:b w:val="0"/>
                <w:color w:val="auto"/>
                <w:kern w:val="44"/>
                <w:sz w:val="24"/>
                <w:szCs w:val="24"/>
              </w:rPr>
              <w:t>0m</w:t>
            </w:r>
            <w:r>
              <w:rPr>
                <w:rFonts w:hint="default" w:ascii="Times New Roman" w:hAnsi="Times New Roman" w:eastAsia="宋体" w:cs="Times New Roman"/>
                <w:b w:val="0"/>
                <w:color w:val="auto"/>
                <w:kern w:val="44"/>
                <w:sz w:val="24"/>
                <w:szCs w:val="24"/>
                <w:vertAlign w:val="superscript"/>
              </w:rPr>
              <w:t>3</w:t>
            </w:r>
            <w:r>
              <w:rPr>
                <w:rFonts w:hint="eastAsia" w:ascii="Times New Roman" w:hAnsi="Times New Roman" w:eastAsia="宋体" w:cs="Times New Roman"/>
                <w:b w:val="0"/>
                <w:color w:val="auto"/>
                <w:kern w:val="44"/>
                <w:sz w:val="24"/>
                <w:szCs w:val="24"/>
                <w:vertAlign w:val="baseline"/>
                <w:lang w:val="en-US" w:eastAsia="zh-CN"/>
              </w:rPr>
              <w:t>柴油</w:t>
            </w:r>
            <w:r>
              <w:rPr>
                <w:rFonts w:hint="default" w:ascii="Times New Roman" w:hAnsi="Times New Roman" w:eastAsia="宋体" w:cs="Times New Roman"/>
                <w:b w:val="0"/>
                <w:color w:val="auto"/>
                <w:kern w:val="44"/>
                <w:sz w:val="24"/>
                <w:szCs w:val="24"/>
              </w:rPr>
              <w:t>储罐，2个</w:t>
            </w:r>
            <w:r>
              <w:rPr>
                <w:rFonts w:hint="eastAsia" w:ascii="Times New Roman" w:hAnsi="Times New Roman" w:eastAsia="宋体" w:cs="Times New Roman"/>
                <w:b w:val="0"/>
                <w:color w:val="auto"/>
                <w:kern w:val="44"/>
                <w:sz w:val="24"/>
                <w:szCs w:val="24"/>
                <w:lang w:val="en-US" w:eastAsia="zh-CN"/>
              </w:rPr>
              <w:t>5</w:t>
            </w:r>
            <w:r>
              <w:rPr>
                <w:rFonts w:hint="default" w:ascii="Times New Roman" w:hAnsi="Times New Roman" w:eastAsia="宋体" w:cs="Times New Roman"/>
                <w:b w:val="0"/>
                <w:color w:val="auto"/>
                <w:kern w:val="44"/>
                <w:sz w:val="24"/>
                <w:szCs w:val="24"/>
              </w:rPr>
              <w:t>0m</w:t>
            </w:r>
            <w:r>
              <w:rPr>
                <w:rFonts w:hint="default" w:ascii="Times New Roman" w:hAnsi="Times New Roman" w:eastAsia="宋体" w:cs="Times New Roman"/>
                <w:b w:val="0"/>
                <w:color w:val="auto"/>
                <w:kern w:val="44"/>
                <w:sz w:val="24"/>
                <w:szCs w:val="24"/>
                <w:vertAlign w:val="superscript"/>
              </w:rPr>
              <w:t>3</w:t>
            </w:r>
            <w:r>
              <w:rPr>
                <w:rFonts w:hint="default" w:ascii="Times New Roman" w:hAnsi="Times New Roman" w:eastAsia="宋体" w:cs="Times New Roman"/>
                <w:b w:val="0"/>
                <w:color w:val="auto"/>
                <w:kern w:val="44"/>
                <w:sz w:val="24"/>
                <w:szCs w:val="24"/>
              </w:rPr>
              <w:t>汽油储罐；站房布置在站区</w:t>
            </w:r>
            <w:r>
              <w:rPr>
                <w:rFonts w:hint="default" w:ascii="Times New Roman" w:hAnsi="Times New Roman" w:eastAsia="宋体" w:cs="Times New Roman"/>
                <w:b w:val="0"/>
                <w:color w:val="auto"/>
                <w:kern w:val="44"/>
                <w:sz w:val="24"/>
                <w:szCs w:val="24"/>
                <w:lang w:val="en-US" w:eastAsia="zh-CN"/>
              </w:rPr>
              <w:t>北</w:t>
            </w:r>
            <w:r>
              <w:rPr>
                <w:rFonts w:hint="default" w:ascii="Times New Roman" w:hAnsi="Times New Roman" w:eastAsia="宋体" w:cs="Times New Roman"/>
                <w:b w:val="0"/>
                <w:color w:val="auto"/>
                <w:kern w:val="44"/>
                <w:sz w:val="24"/>
                <w:szCs w:val="24"/>
              </w:rPr>
              <w:t>部</w:t>
            </w:r>
            <w:r>
              <w:rPr>
                <w:rFonts w:hint="eastAsia" w:cs="Times New Roman"/>
                <w:b w:val="0"/>
                <w:color w:val="auto"/>
                <w:kern w:val="44"/>
                <w:sz w:val="24"/>
                <w:szCs w:val="24"/>
                <w:lang w:val="en-US" w:eastAsia="zh-CN"/>
              </w:rPr>
              <w:t>,</w:t>
            </w:r>
            <w:r>
              <w:rPr>
                <w:rFonts w:hint="default" w:ascii="Times New Roman" w:hAnsi="Times New Roman" w:eastAsia="宋体" w:cs="Times New Roman"/>
                <w:b w:val="0"/>
                <w:color w:val="auto"/>
                <w:kern w:val="44"/>
                <w:sz w:val="24"/>
                <w:szCs w:val="24"/>
              </w:rPr>
              <w:t>加油区和罩棚布置在站区中部。加油区设有</w:t>
            </w:r>
            <w:r>
              <w:rPr>
                <w:rFonts w:hint="default" w:ascii="Times New Roman" w:hAnsi="Times New Roman" w:eastAsia="宋体" w:cs="Times New Roman"/>
                <w:b w:val="0"/>
                <w:color w:val="auto"/>
                <w:kern w:val="44"/>
                <w:sz w:val="24"/>
                <w:szCs w:val="24"/>
                <w:lang w:val="en-US" w:eastAsia="zh-CN"/>
              </w:rPr>
              <w:t>7</w:t>
            </w:r>
            <w:r>
              <w:rPr>
                <w:rFonts w:hint="default" w:ascii="Times New Roman" w:hAnsi="Times New Roman" w:eastAsia="宋体" w:cs="Times New Roman"/>
                <w:b w:val="0"/>
                <w:color w:val="auto"/>
                <w:kern w:val="44"/>
                <w:sz w:val="24"/>
                <w:szCs w:val="24"/>
              </w:rPr>
              <w:t>个加油岛，</w:t>
            </w:r>
            <w:r>
              <w:rPr>
                <w:rFonts w:hint="default" w:ascii="Times New Roman" w:hAnsi="Times New Roman" w:eastAsia="宋体" w:cs="Times New Roman"/>
                <w:b w:val="0"/>
                <w:color w:val="auto"/>
                <w:kern w:val="44"/>
                <w:sz w:val="24"/>
                <w:szCs w:val="24"/>
                <w:lang w:val="en-US" w:eastAsia="zh-CN"/>
              </w:rPr>
              <w:t>7</w:t>
            </w:r>
            <w:r>
              <w:rPr>
                <w:rFonts w:hint="default" w:ascii="Times New Roman" w:hAnsi="Times New Roman" w:eastAsia="宋体" w:cs="Times New Roman"/>
                <w:b w:val="0"/>
                <w:color w:val="auto"/>
                <w:kern w:val="44"/>
                <w:sz w:val="24"/>
                <w:szCs w:val="24"/>
              </w:rPr>
              <w:t>台四枪加油机</w:t>
            </w:r>
            <w:r>
              <w:rPr>
                <w:rFonts w:hint="eastAsia" w:ascii="Times New Roman" w:hAnsi="Times New Roman" w:eastAsia="宋体" w:cs="Times New Roman"/>
                <w:b w:val="0"/>
                <w:color w:val="auto"/>
                <w:kern w:val="44"/>
                <w:sz w:val="24"/>
                <w:szCs w:val="24"/>
                <w:lang w:eastAsia="zh-CN"/>
              </w:rPr>
              <w:t>，</w:t>
            </w:r>
            <w:r>
              <w:rPr>
                <w:rFonts w:hint="default" w:ascii="Times New Roman" w:hAnsi="Times New Roman" w:eastAsia="宋体" w:cs="Times New Roman"/>
                <w:b w:val="0"/>
                <w:color w:val="auto"/>
                <w:kern w:val="44"/>
                <w:sz w:val="24"/>
                <w:szCs w:val="24"/>
              </w:rPr>
              <w:t>自</w:t>
            </w:r>
            <w:r>
              <w:rPr>
                <w:rFonts w:hint="eastAsia" w:ascii="Times New Roman" w:hAnsi="Times New Roman" w:eastAsia="宋体" w:cs="Times New Roman"/>
                <w:b w:val="0"/>
                <w:color w:val="auto"/>
                <w:kern w:val="44"/>
                <w:sz w:val="24"/>
                <w:szCs w:val="24"/>
                <w:lang w:val="en-US" w:eastAsia="zh-CN"/>
              </w:rPr>
              <w:t>西</w:t>
            </w:r>
            <w:r>
              <w:rPr>
                <w:rFonts w:hint="default" w:ascii="Times New Roman" w:hAnsi="Times New Roman" w:eastAsia="宋体" w:cs="Times New Roman"/>
                <w:b w:val="0"/>
                <w:color w:val="auto"/>
                <w:kern w:val="44"/>
                <w:sz w:val="24"/>
                <w:szCs w:val="24"/>
              </w:rPr>
              <w:t>向</w:t>
            </w:r>
            <w:r>
              <w:rPr>
                <w:rFonts w:hint="eastAsia" w:ascii="Times New Roman" w:hAnsi="Times New Roman" w:eastAsia="宋体" w:cs="Times New Roman"/>
                <w:b w:val="0"/>
                <w:color w:val="auto"/>
                <w:kern w:val="44"/>
                <w:sz w:val="24"/>
                <w:szCs w:val="24"/>
                <w:lang w:val="en-US" w:eastAsia="zh-CN"/>
              </w:rPr>
              <w:t>东</w:t>
            </w:r>
            <w:r>
              <w:rPr>
                <w:rFonts w:hint="default" w:ascii="Times New Roman" w:hAnsi="Times New Roman" w:eastAsia="宋体" w:cs="Times New Roman"/>
                <w:b w:val="0"/>
                <w:color w:val="auto"/>
                <w:kern w:val="44"/>
                <w:sz w:val="24"/>
                <w:szCs w:val="24"/>
              </w:rPr>
              <w:t>依次</w:t>
            </w:r>
            <w:r>
              <w:rPr>
                <w:rFonts w:hint="eastAsia" w:cs="Times New Roman"/>
                <w:b w:val="0"/>
                <w:color w:val="auto"/>
                <w:kern w:val="44"/>
                <w:sz w:val="24"/>
                <w:szCs w:val="24"/>
                <w:lang w:val="en-US" w:eastAsia="zh-CN"/>
              </w:rPr>
              <w:t>排列</w:t>
            </w:r>
            <w:r>
              <w:rPr>
                <w:rFonts w:hint="default" w:ascii="Times New Roman" w:hAnsi="Times New Roman" w:eastAsia="宋体" w:cs="Times New Roman"/>
                <w:b w:val="0"/>
                <w:color w:val="auto"/>
                <w:kern w:val="44"/>
                <w:sz w:val="24"/>
                <w:szCs w:val="24"/>
              </w:rPr>
              <w:t>。总体布局严格遵守防火规范，人流、车流互不干扰。在从道路进站的大门口，设置减速板。为使加油车辆进出通畅，进出口分开设置。总图布置时，站区与站外建（构）筑物及其它设施的防火间距、厂内工艺设施与厂内建（构）筑物及其它辅助设施的防火间距参照《汽车加油加气加氢站技术标准》（GB50516-2021）的相关规定执行</w:t>
            </w:r>
            <w:r>
              <w:rPr>
                <w:rFonts w:hint="default" w:ascii="Times New Roman" w:hAnsi="Times New Roman" w:eastAsia="宋体" w:cs="Times New Roman"/>
                <w:b w:val="0"/>
                <w:color w:val="auto"/>
                <w:kern w:val="44"/>
                <w:sz w:val="24"/>
                <w:szCs w:val="24"/>
                <w:lang w:eastAsia="zh-CN"/>
              </w:rPr>
              <w:t>。</w:t>
            </w:r>
          </w:p>
          <w:p>
            <w:pPr>
              <w:pStyle w:val="43"/>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color w:val="auto"/>
              </w:rPr>
            </w:pPr>
            <w:r>
              <w:rPr>
                <w:color w:val="auto"/>
              </w:rPr>
              <w:t>具体平面布置详见图2-</w:t>
            </w:r>
            <w:r>
              <w:rPr>
                <w:rFonts w:hint="eastAsia"/>
                <w:color w:val="auto"/>
                <w:lang w:val="en-US" w:eastAsia="zh-CN"/>
              </w:rPr>
              <w:t>4</w:t>
            </w:r>
            <w:r>
              <w:rPr>
                <w:color w:val="auto"/>
              </w:rPr>
              <w:t>。</w:t>
            </w:r>
          </w:p>
          <w:p>
            <w:pPr>
              <w:pStyle w:val="6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eastAsia="黑体"/>
                <w:b w:val="0"/>
                <w:color w:val="auto"/>
                <w:kern w:val="44"/>
                <w:sz w:val="24"/>
                <w:szCs w:val="24"/>
              </w:rPr>
            </w:pPr>
            <w:r>
              <w:rPr>
                <w:rFonts w:hint="eastAsia" w:eastAsia="黑体"/>
                <w:b w:val="0"/>
                <w:color w:val="auto"/>
                <w:sz w:val="24"/>
                <w:szCs w:val="24"/>
                <w:lang w:val="en-US" w:eastAsia="zh-CN"/>
              </w:rPr>
              <w:t>8</w:t>
            </w:r>
            <w:r>
              <w:rPr>
                <w:rFonts w:eastAsia="黑体"/>
                <w:b w:val="0"/>
                <w:color w:val="auto"/>
                <w:kern w:val="44"/>
                <w:sz w:val="24"/>
                <w:szCs w:val="24"/>
              </w:rPr>
              <w:t>环保投资估算</w:t>
            </w:r>
          </w:p>
          <w:p>
            <w:pPr>
              <w:pStyle w:val="43"/>
              <w:ind w:firstLine="514"/>
              <w:rPr>
                <w:color w:val="auto"/>
              </w:rPr>
            </w:pPr>
            <w:r>
              <w:rPr>
                <w:color w:val="auto"/>
              </w:rPr>
              <w:t>本项目环保投资情况见表2-</w:t>
            </w:r>
            <w:r>
              <w:rPr>
                <w:rFonts w:hint="eastAsia"/>
                <w:color w:val="auto"/>
                <w:lang w:val="en-US" w:eastAsia="zh-CN"/>
              </w:rPr>
              <w:t>8</w:t>
            </w:r>
            <w:r>
              <w:rPr>
                <w:color w:val="auto"/>
              </w:rPr>
              <w:t>。</w:t>
            </w:r>
          </w:p>
          <w:p>
            <w:pPr>
              <w:jc w:val="center"/>
              <w:rPr>
                <w:rFonts w:eastAsia="黑体"/>
                <w:color w:val="auto"/>
                <w:kern w:val="44"/>
                <w:sz w:val="24"/>
              </w:rPr>
            </w:pPr>
            <w:r>
              <w:rPr>
                <w:rFonts w:eastAsia="黑体"/>
                <w:color w:val="auto"/>
                <w:kern w:val="44"/>
                <w:sz w:val="24"/>
              </w:rPr>
              <w:t>表2-</w:t>
            </w:r>
            <w:r>
              <w:rPr>
                <w:rFonts w:hint="eastAsia" w:eastAsia="黑体"/>
                <w:color w:val="auto"/>
                <w:kern w:val="44"/>
                <w:sz w:val="24"/>
                <w:lang w:val="en-US" w:eastAsia="zh-CN"/>
              </w:rPr>
              <w:t xml:space="preserve">8  </w:t>
            </w:r>
            <w:r>
              <w:rPr>
                <w:rFonts w:eastAsia="黑体"/>
                <w:color w:val="auto"/>
                <w:kern w:val="44"/>
                <w:sz w:val="24"/>
              </w:rPr>
              <w:t>环保投资情况一览表</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2"/>
              <w:gridCol w:w="1134"/>
              <w:gridCol w:w="5458"/>
              <w:gridCol w:w="13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6" w:type="pct"/>
                  <w:gridSpan w:val="2"/>
                  <w:vAlign w:val="center"/>
                </w:tcPr>
                <w:p>
                  <w:pPr>
                    <w:adjustRightInd w:val="0"/>
                    <w:snapToGrid w:val="0"/>
                    <w:jc w:val="center"/>
                    <w:rPr>
                      <w:color w:val="auto"/>
                      <w:szCs w:val="21"/>
                    </w:rPr>
                  </w:pPr>
                  <w:r>
                    <w:rPr>
                      <w:b/>
                      <w:bCs/>
                      <w:color w:val="auto"/>
                      <w:szCs w:val="21"/>
                    </w:rPr>
                    <w:t>项目</w:t>
                  </w:r>
                </w:p>
              </w:tc>
              <w:tc>
                <w:tcPr>
                  <w:tcW w:w="3062" w:type="pct"/>
                  <w:vAlign w:val="center"/>
                </w:tcPr>
                <w:p>
                  <w:pPr>
                    <w:adjustRightInd w:val="0"/>
                    <w:snapToGrid w:val="0"/>
                    <w:jc w:val="center"/>
                    <w:rPr>
                      <w:b/>
                      <w:color w:val="auto"/>
                      <w:szCs w:val="21"/>
                    </w:rPr>
                  </w:pPr>
                  <w:r>
                    <w:rPr>
                      <w:b/>
                      <w:color w:val="auto"/>
                      <w:szCs w:val="21"/>
                    </w:rPr>
                    <w:t>具体内容</w:t>
                  </w:r>
                </w:p>
              </w:tc>
              <w:tc>
                <w:tcPr>
                  <w:tcW w:w="761" w:type="pct"/>
                  <w:vAlign w:val="center"/>
                </w:tcPr>
                <w:p>
                  <w:pPr>
                    <w:adjustRightInd w:val="0"/>
                    <w:snapToGrid w:val="0"/>
                    <w:jc w:val="center"/>
                    <w:rPr>
                      <w:b/>
                      <w:color w:val="auto"/>
                      <w:szCs w:val="21"/>
                    </w:rPr>
                  </w:pPr>
                  <w:r>
                    <w:rPr>
                      <w:b/>
                      <w:bCs/>
                      <w:color w:val="auto"/>
                      <w:szCs w:val="21"/>
                    </w:rPr>
                    <w:t>投资金额（万元）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6" w:type="pct"/>
                  <w:gridSpan w:val="2"/>
                  <w:vAlign w:val="center"/>
                </w:tcPr>
                <w:p>
                  <w:pPr>
                    <w:adjustRightInd w:val="0"/>
                    <w:snapToGrid w:val="0"/>
                    <w:jc w:val="center"/>
                    <w:rPr>
                      <w:rFonts w:hint="default" w:eastAsia="宋体"/>
                      <w:b w:val="0"/>
                      <w:bCs w:val="0"/>
                      <w:color w:val="auto"/>
                      <w:szCs w:val="21"/>
                      <w:lang w:val="en-US" w:eastAsia="zh-CN"/>
                    </w:rPr>
                  </w:pPr>
                  <w:r>
                    <w:rPr>
                      <w:rFonts w:hint="eastAsia"/>
                      <w:b w:val="0"/>
                      <w:bCs w:val="0"/>
                      <w:color w:val="auto"/>
                      <w:szCs w:val="21"/>
                      <w:lang w:val="en-US" w:eastAsia="zh-CN"/>
                    </w:rPr>
                    <w:t>废气处理措施</w:t>
                  </w:r>
                </w:p>
              </w:tc>
              <w:tc>
                <w:tcPr>
                  <w:tcW w:w="3062" w:type="pct"/>
                  <w:vAlign w:val="center"/>
                </w:tcPr>
                <w:p>
                  <w:pPr>
                    <w:adjustRightInd w:val="0"/>
                    <w:snapToGrid w:val="0"/>
                    <w:jc w:val="center"/>
                    <w:rPr>
                      <w:color w:val="auto"/>
                      <w:szCs w:val="21"/>
                    </w:rPr>
                  </w:pPr>
                  <w:r>
                    <w:rPr>
                      <w:rFonts w:ascii="宋体" w:hAnsi="宋体" w:eastAsia="宋体" w:cs="宋体"/>
                      <w:color w:val="auto"/>
                      <w:sz w:val="21"/>
                      <w:szCs w:val="21"/>
                    </w:rPr>
                    <w:t>油罐区设</w:t>
                  </w:r>
                  <w:r>
                    <w:rPr>
                      <w:rFonts w:hint="eastAsia" w:ascii="宋体" w:hAnsi="宋体" w:cs="宋体"/>
                      <w:color w:val="auto"/>
                      <w:sz w:val="21"/>
                      <w:szCs w:val="21"/>
                      <w:lang w:val="en-US" w:eastAsia="zh-CN"/>
                    </w:rPr>
                    <w:t>2</w:t>
                  </w:r>
                  <w:r>
                    <w:rPr>
                      <w:rFonts w:ascii="宋体" w:hAnsi="宋体" w:eastAsia="宋体" w:cs="宋体"/>
                      <w:color w:val="auto"/>
                      <w:sz w:val="21"/>
                      <w:szCs w:val="21"/>
                    </w:rPr>
                    <w:t>套卸油油气回收装置</w:t>
                  </w:r>
                </w:p>
              </w:tc>
              <w:tc>
                <w:tcPr>
                  <w:tcW w:w="761" w:type="pct"/>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6" w:type="pct"/>
                  <w:gridSpan w:val="2"/>
                  <w:vAlign w:val="center"/>
                </w:tcPr>
                <w:p>
                  <w:pPr>
                    <w:adjustRightInd w:val="0"/>
                    <w:snapToGrid w:val="0"/>
                    <w:jc w:val="center"/>
                    <w:rPr>
                      <w:b w:val="0"/>
                      <w:bCs w:val="0"/>
                      <w:color w:val="auto"/>
                      <w:szCs w:val="21"/>
                    </w:rPr>
                  </w:pPr>
                  <w:r>
                    <w:rPr>
                      <w:b w:val="0"/>
                      <w:bCs w:val="0"/>
                      <w:color w:val="auto"/>
                      <w:szCs w:val="21"/>
                    </w:rPr>
                    <w:t>废</w:t>
                  </w:r>
                  <w:r>
                    <w:rPr>
                      <w:rFonts w:hint="eastAsia"/>
                      <w:b w:val="0"/>
                      <w:bCs w:val="0"/>
                      <w:color w:val="auto"/>
                      <w:szCs w:val="21"/>
                    </w:rPr>
                    <w:t>水</w:t>
                  </w:r>
                  <w:r>
                    <w:rPr>
                      <w:b w:val="0"/>
                      <w:bCs w:val="0"/>
                      <w:color w:val="auto"/>
                      <w:szCs w:val="21"/>
                    </w:rPr>
                    <w:t>处理措施</w:t>
                  </w:r>
                </w:p>
              </w:tc>
              <w:tc>
                <w:tcPr>
                  <w:tcW w:w="3062" w:type="pct"/>
                  <w:vAlign w:val="center"/>
                </w:tcPr>
                <w:p>
                  <w:pPr>
                    <w:adjustRightInd w:val="0"/>
                    <w:snapToGrid w:val="0"/>
                    <w:jc w:val="center"/>
                    <w:rPr>
                      <w:color w:val="auto"/>
                      <w:szCs w:val="21"/>
                    </w:rPr>
                  </w:pPr>
                  <w:r>
                    <w:rPr>
                      <w:rFonts w:hint="eastAsia"/>
                      <w:color w:val="auto"/>
                      <w:szCs w:val="21"/>
                    </w:rPr>
                    <w:t>1 座化粪池（</w:t>
                  </w:r>
                  <w:r>
                    <w:rPr>
                      <w:rFonts w:hint="eastAsia"/>
                      <w:color w:val="auto"/>
                      <w:szCs w:val="21"/>
                      <w:lang w:val="en-US" w:eastAsia="zh-CN"/>
                    </w:rPr>
                    <w:t>1</w:t>
                  </w:r>
                  <w:r>
                    <w:rPr>
                      <w:rFonts w:hint="eastAsia"/>
                      <w:color w:val="auto"/>
                      <w:szCs w:val="21"/>
                    </w:rPr>
                    <w:t>0m³）</w:t>
                  </w:r>
                </w:p>
              </w:tc>
              <w:tc>
                <w:tcPr>
                  <w:tcW w:w="761" w:type="pct"/>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76" w:type="pct"/>
                  <w:gridSpan w:val="2"/>
                  <w:vAlign w:val="center"/>
                </w:tcPr>
                <w:p>
                  <w:pPr>
                    <w:adjustRightInd w:val="0"/>
                    <w:snapToGrid w:val="0"/>
                    <w:jc w:val="center"/>
                    <w:rPr>
                      <w:b w:val="0"/>
                      <w:bCs w:val="0"/>
                      <w:color w:val="auto"/>
                      <w:szCs w:val="21"/>
                    </w:rPr>
                  </w:pPr>
                  <w:r>
                    <w:rPr>
                      <w:b w:val="0"/>
                      <w:bCs w:val="0"/>
                      <w:color w:val="auto"/>
                      <w:szCs w:val="21"/>
                    </w:rPr>
                    <w:t>噪声处理</w:t>
                  </w:r>
                  <w:r>
                    <w:rPr>
                      <w:rFonts w:hint="eastAsia"/>
                      <w:b w:val="0"/>
                      <w:bCs w:val="0"/>
                      <w:color w:val="auto"/>
                      <w:szCs w:val="21"/>
                      <w:lang w:val="en-US" w:eastAsia="zh-CN"/>
                    </w:rPr>
                    <w:t>措施</w:t>
                  </w:r>
                </w:p>
              </w:tc>
              <w:tc>
                <w:tcPr>
                  <w:tcW w:w="3062" w:type="pct"/>
                  <w:vAlign w:val="center"/>
                </w:tcPr>
                <w:p>
                  <w:pPr>
                    <w:adjustRightInd w:val="0"/>
                    <w:snapToGrid w:val="0"/>
                    <w:ind w:firstLine="452" w:firstLineChars="200"/>
                    <w:rPr>
                      <w:color w:val="auto"/>
                      <w:szCs w:val="21"/>
                    </w:rPr>
                  </w:pPr>
                  <w:r>
                    <w:rPr>
                      <w:rFonts w:hint="eastAsia"/>
                      <w:color w:val="auto"/>
                      <w:szCs w:val="21"/>
                    </w:rPr>
                    <w:t>站区进出口设置禁鸣标志及减速带；高噪声设备采用隔音、减振等措施</w:t>
                  </w:r>
                </w:p>
              </w:tc>
              <w:tc>
                <w:tcPr>
                  <w:tcW w:w="761" w:type="pct"/>
                  <w:vAlign w:val="center"/>
                </w:tcPr>
                <w:p>
                  <w:pPr>
                    <w:adjustRightInd w:val="0"/>
                    <w:snapToGrid w:val="0"/>
                    <w:jc w:val="center"/>
                    <w:rPr>
                      <w:rFonts w:hint="eastAsia" w:eastAsia="宋体"/>
                      <w:bCs/>
                      <w:color w:val="auto"/>
                      <w:kern w:val="0"/>
                      <w:szCs w:val="21"/>
                      <w:lang w:val="en-US" w:eastAsia="zh-CN"/>
                    </w:rPr>
                  </w:pPr>
                  <w:r>
                    <w:rPr>
                      <w:rFonts w:hint="eastAsia"/>
                      <w:bCs/>
                      <w:color w:val="auto"/>
                      <w:kern w:val="0"/>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540" w:type="pct"/>
                  <w:vMerge w:val="restart"/>
                  <w:vAlign w:val="center"/>
                </w:tcPr>
                <w:p>
                  <w:pPr>
                    <w:pStyle w:val="32"/>
                    <w:snapToGrid w:val="0"/>
                    <w:rPr>
                      <w:rFonts w:ascii="宋体" w:hAnsi="宋体" w:eastAsia="宋体" w:cs="Times New Roman"/>
                      <w:b w:val="0"/>
                      <w:bCs w:val="0"/>
                      <w:color w:val="auto"/>
                    </w:rPr>
                  </w:pPr>
                  <w:r>
                    <w:rPr>
                      <w:rFonts w:ascii="宋体" w:hAnsi="宋体" w:eastAsia="宋体" w:cs="Times New Roman"/>
                      <w:b w:val="0"/>
                      <w:bCs w:val="0"/>
                      <w:color w:val="auto"/>
                    </w:rPr>
                    <w:t>固废治理措施</w:t>
                  </w:r>
                </w:p>
              </w:tc>
              <w:tc>
                <w:tcPr>
                  <w:tcW w:w="635" w:type="pct"/>
                  <w:vAlign w:val="center"/>
                </w:tcPr>
                <w:p>
                  <w:pPr>
                    <w:adjustRightInd w:val="0"/>
                    <w:snapToGrid w:val="0"/>
                    <w:jc w:val="center"/>
                    <w:rPr>
                      <w:b w:val="0"/>
                      <w:bCs w:val="0"/>
                      <w:color w:val="auto"/>
                      <w:szCs w:val="21"/>
                    </w:rPr>
                  </w:pPr>
                  <w:r>
                    <w:rPr>
                      <w:b w:val="0"/>
                      <w:bCs w:val="0"/>
                      <w:color w:val="auto"/>
                      <w:szCs w:val="21"/>
                    </w:rPr>
                    <w:t>一般工业固废</w:t>
                  </w:r>
                </w:p>
              </w:tc>
              <w:tc>
                <w:tcPr>
                  <w:tcW w:w="3062" w:type="pct"/>
                  <w:vAlign w:val="center"/>
                </w:tcPr>
                <w:p>
                  <w:pPr>
                    <w:adjustRightInd w:val="0"/>
                    <w:snapToGrid w:val="0"/>
                    <w:ind w:firstLine="452" w:firstLineChars="200"/>
                    <w:jc w:val="center"/>
                    <w:rPr>
                      <w:bCs/>
                      <w:color w:val="auto"/>
                      <w:kern w:val="0"/>
                      <w:szCs w:val="21"/>
                    </w:rPr>
                  </w:pPr>
                  <w:r>
                    <w:rPr>
                      <w:rFonts w:hint="eastAsia"/>
                      <w:bCs/>
                      <w:color w:val="auto"/>
                      <w:kern w:val="0"/>
                      <w:szCs w:val="21"/>
                    </w:rPr>
                    <w:t>垃圾收集箱若干</w:t>
                  </w:r>
                </w:p>
              </w:tc>
              <w:tc>
                <w:tcPr>
                  <w:tcW w:w="761" w:type="pct"/>
                  <w:vAlign w:val="center"/>
                </w:tcPr>
                <w:p>
                  <w:pPr>
                    <w:pStyle w:val="32"/>
                    <w:snapToGrid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540" w:type="pct"/>
                  <w:vMerge w:val="continue"/>
                  <w:vAlign w:val="center"/>
                </w:tcPr>
                <w:p>
                  <w:pPr>
                    <w:pStyle w:val="32"/>
                    <w:snapToGrid w:val="0"/>
                    <w:rPr>
                      <w:rFonts w:ascii="宋体" w:hAnsi="宋体" w:eastAsia="宋体" w:cs="Times New Roman"/>
                      <w:b w:val="0"/>
                      <w:bCs w:val="0"/>
                      <w:color w:val="auto"/>
                    </w:rPr>
                  </w:pPr>
                </w:p>
              </w:tc>
              <w:tc>
                <w:tcPr>
                  <w:tcW w:w="635" w:type="pct"/>
                  <w:vAlign w:val="center"/>
                </w:tcPr>
                <w:p>
                  <w:pPr>
                    <w:adjustRightInd w:val="0"/>
                    <w:snapToGrid w:val="0"/>
                    <w:jc w:val="center"/>
                    <w:rPr>
                      <w:rFonts w:hint="eastAsia" w:eastAsia="宋体"/>
                      <w:b w:val="0"/>
                      <w:bCs w:val="0"/>
                      <w:color w:val="auto"/>
                      <w:szCs w:val="21"/>
                      <w:lang w:val="en-US" w:eastAsia="zh-CN"/>
                    </w:rPr>
                  </w:pPr>
                  <w:r>
                    <w:rPr>
                      <w:rFonts w:hint="eastAsia"/>
                      <w:b w:val="0"/>
                      <w:bCs w:val="0"/>
                      <w:color w:val="auto"/>
                      <w:szCs w:val="21"/>
                      <w:lang w:val="en-US" w:eastAsia="zh-CN"/>
                    </w:rPr>
                    <w:t>危险废物</w:t>
                  </w:r>
                </w:p>
              </w:tc>
              <w:tc>
                <w:tcPr>
                  <w:tcW w:w="3062" w:type="pct"/>
                  <w:vAlign w:val="center"/>
                </w:tcPr>
                <w:p>
                  <w:pPr>
                    <w:adjustRightInd w:val="0"/>
                    <w:snapToGrid w:val="0"/>
                    <w:ind w:firstLine="452" w:firstLineChars="200"/>
                    <w:jc w:val="left"/>
                    <w:rPr>
                      <w:rFonts w:hint="eastAsia"/>
                      <w:bCs/>
                      <w:color w:val="auto"/>
                      <w:kern w:val="0"/>
                      <w:szCs w:val="21"/>
                    </w:rPr>
                  </w:pPr>
                  <w:r>
                    <w:rPr>
                      <w:rFonts w:hint="eastAsia"/>
                      <w:bCs/>
                      <w:color w:val="auto"/>
                      <w:kern w:val="0"/>
                      <w:szCs w:val="21"/>
                    </w:rPr>
                    <w:t>油罐清理或检修均委托有资质的第三方进行，产</w:t>
                  </w:r>
                </w:p>
                <w:p>
                  <w:pPr>
                    <w:adjustRightInd w:val="0"/>
                    <w:snapToGrid w:val="0"/>
                    <w:jc w:val="left"/>
                    <w:rPr>
                      <w:bCs/>
                      <w:color w:val="auto"/>
                      <w:kern w:val="0"/>
                      <w:szCs w:val="21"/>
                    </w:rPr>
                  </w:pPr>
                  <w:r>
                    <w:rPr>
                      <w:rFonts w:hint="eastAsia"/>
                      <w:bCs/>
                      <w:color w:val="auto"/>
                      <w:kern w:val="0"/>
                      <w:szCs w:val="21"/>
                    </w:rPr>
                    <w:t>生的废油渣由第三方公司统一回收</w:t>
                  </w:r>
                </w:p>
              </w:tc>
              <w:tc>
                <w:tcPr>
                  <w:tcW w:w="761" w:type="pct"/>
                  <w:vAlign w:val="center"/>
                </w:tcPr>
                <w:p>
                  <w:pPr>
                    <w:pStyle w:val="32"/>
                    <w:snapToGrid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6" w:type="pct"/>
                  <w:gridSpan w:val="2"/>
                  <w:vMerge w:val="restart"/>
                  <w:vAlign w:val="center"/>
                </w:tcPr>
                <w:p>
                  <w:pPr>
                    <w:adjustRightInd w:val="0"/>
                    <w:snapToGrid w:val="0"/>
                    <w:jc w:val="center"/>
                    <w:rPr>
                      <w:b w:val="0"/>
                      <w:bCs w:val="0"/>
                      <w:color w:val="auto"/>
                      <w:szCs w:val="21"/>
                    </w:rPr>
                  </w:pPr>
                  <w:r>
                    <w:rPr>
                      <w:b w:val="0"/>
                      <w:bCs w:val="0"/>
                      <w:color w:val="auto"/>
                      <w:szCs w:val="21"/>
                    </w:rPr>
                    <w:t>地下水污染</w:t>
                  </w:r>
                </w:p>
                <w:p>
                  <w:pPr>
                    <w:adjustRightInd w:val="0"/>
                    <w:snapToGrid w:val="0"/>
                    <w:jc w:val="center"/>
                    <w:rPr>
                      <w:b w:val="0"/>
                      <w:bCs w:val="0"/>
                      <w:color w:val="auto"/>
                      <w:szCs w:val="21"/>
                    </w:rPr>
                  </w:pPr>
                  <w:r>
                    <w:rPr>
                      <w:b w:val="0"/>
                      <w:bCs w:val="0"/>
                      <w:color w:val="auto"/>
                      <w:szCs w:val="21"/>
                    </w:rPr>
                    <w:t>防治措施</w:t>
                  </w:r>
                </w:p>
              </w:tc>
              <w:tc>
                <w:tcPr>
                  <w:tcW w:w="3062" w:type="pct"/>
                  <w:vAlign w:val="center"/>
                </w:tcPr>
                <w:p>
                  <w:pPr>
                    <w:adjustRightInd w:val="0"/>
                    <w:snapToGrid w:val="0"/>
                    <w:ind w:firstLine="452" w:firstLineChars="200"/>
                    <w:rPr>
                      <w:bCs/>
                      <w:color w:val="auto"/>
                      <w:kern w:val="0"/>
                      <w:szCs w:val="21"/>
                    </w:rPr>
                  </w:pPr>
                  <w:r>
                    <w:rPr>
                      <w:rFonts w:hint="eastAsia"/>
                      <w:bCs/>
                      <w:color w:val="auto"/>
                      <w:kern w:val="0"/>
                      <w:szCs w:val="21"/>
                    </w:rPr>
                    <w:t>采用埋地卧式SF双层储罐，油罐区需设置油品泄漏检测装置</w:t>
                  </w:r>
                </w:p>
              </w:tc>
              <w:tc>
                <w:tcPr>
                  <w:tcW w:w="761" w:type="pct"/>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6" w:type="pct"/>
                  <w:gridSpan w:val="2"/>
                  <w:vMerge w:val="continue"/>
                  <w:vAlign w:val="center"/>
                </w:tcPr>
                <w:p>
                  <w:pPr>
                    <w:adjustRightInd w:val="0"/>
                    <w:snapToGrid w:val="0"/>
                    <w:jc w:val="center"/>
                    <w:rPr>
                      <w:b/>
                      <w:bCs/>
                      <w:color w:val="auto"/>
                      <w:szCs w:val="21"/>
                    </w:rPr>
                  </w:pPr>
                </w:p>
              </w:tc>
              <w:tc>
                <w:tcPr>
                  <w:tcW w:w="3062" w:type="pct"/>
                  <w:vAlign w:val="center"/>
                </w:tcPr>
                <w:p>
                  <w:pPr>
                    <w:adjustRightInd w:val="0"/>
                    <w:snapToGrid w:val="0"/>
                    <w:ind w:firstLine="452" w:firstLineChars="200"/>
                    <w:rPr>
                      <w:bCs/>
                      <w:color w:val="auto"/>
                      <w:kern w:val="0"/>
                      <w:szCs w:val="21"/>
                    </w:rPr>
                  </w:pPr>
                  <w:r>
                    <w:rPr>
                      <w:rFonts w:hint="eastAsia"/>
                      <w:bCs/>
                      <w:color w:val="auto"/>
                      <w:kern w:val="0"/>
                      <w:szCs w:val="21"/>
                    </w:rPr>
                    <w:t>重点防渗区渗透系数≤10</w:t>
                  </w:r>
                  <w:r>
                    <w:rPr>
                      <w:rFonts w:hint="eastAsia"/>
                      <w:bCs/>
                      <w:color w:val="auto"/>
                      <w:kern w:val="0"/>
                      <w:szCs w:val="21"/>
                      <w:vertAlign w:val="superscript"/>
                    </w:rPr>
                    <w:t>-</w:t>
                  </w:r>
                  <w:r>
                    <w:rPr>
                      <w:rFonts w:hint="eastAsia"/>
                      <w:bCs/>
                      <w:color w:val="auto"/>
                      <w:kern w:val="0"/>
                      <w:szCs w:val="21"/>
                      <w:vertAlign w:val="superscript"/>
                      <w:lang w:val="en-US" w:eastAsia="zh-CN"/>
                    </w:rPr>
                    <w:t>7</w:t>
                  </w:r>
                  <w:r>
                    <w:rPr>
                      <w:rFonts w:hint="eastAsia"/>
                      <w:bCs/>
                      <w:color w:val="auto"/>
                      <w:kern w:val="0"/>
                      <w:szCs w:val="21"/>
                    </w:rPr>
                    <w:t>cm/s；一般防渗区渗透系数≤10</w:t>
                  </w:r>
                  <w:r>
                    <w:rPr>
                      <w:rFonts w:hint="eastAsia"/>
                      <w:bCs/>
                      <w:color w:val="auto"/>
                      <w:kern w:val="0"/>
                      <w:szCs w:val="21"/>
                      <w:vertAlign w:val="superscript"/>
                    </w:rPr>
                    <w:t>-7</w:t>
                  </w:r>
                  <w:r>
                    <w:rPr>
                      <w:rFonts w:hint="eastAsia"/>
                      <w:bCs/>
                      <w:color w:val="auto"/>
                      <w:kern w:val="0"/>
                      <w:szCs w:val="21"/>
                    </w:rPr>
                    <w:t>cm/s</w:t>
                  </w:r>
                </w:p>
              </w:tc>
              <w:tc>
                <w:tcPr>
                  <w:tcW w:w="761" w:type="pct"/>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6" w:type="pct"/>
                  <w:gridSpan w:val="2"/>
                  <w:vMerge w:val="continue"/>
                  <w:vAlign w:val="center"/>
                </w:tcPr>
                <w:p>
                  <w:pPr>
                    <w:adjustRightInd w:val="0"/>
                    <w:snapToGrid w:val="0"/>
                    <w:jc w:val="center"/>
                    <w:rPr>
                      <w:b/>
                      <w:bCs/>
                      <w:color w:val="auto"/>
                      <w:szCs w:val="21"/>
                    </w:rPr>
                  </w:pPr>
                </w:p>
              </w:tc>
              <w:tc>
                <w:tcPr>
                  <w:tcW w:w="3062" w:type="pct"/>
                  <w:vAlign w:val="center"/>
                </w:tcPr>
                <w:p>
                  <w:pPr>
                    <w:adjustRightInd w:val="0"/>
                    <w:snapToGrid w:val="0"/>
                    <w:ind w:firstLine="452" w:firstLineChars="200"/>
                    <w:jc w:val="center"/>
                    <w:rPr>
                      <w:rFonts w:hint="default" w:eastAsia="宋体"/>
                      <w:bCs/>
                      <w:color w:val="auto"/>
                      <w:kern w:val="0"/>
                      <w:szCs w:val="21"/>
                      <w:lang w:val="en-US" w:eastAsia="zh-CN"/>
                    </w:rPr>
                  </w:pPr>
                  <w:r>
                    <w:rPr>
                      <w:rFonts w:hint="eastAsia"/>
                      <w:bCs/>
                      <w:color w:val="auto"/>
                      <w:kern w:val="0"/>
                      <w:szCs w:val="21"/>
                      <w:lang w:val="en-US" w:eastAsia="zh-CN"/>
                    </w:rPr>
                    <w:t>设置1座地下水监测井</w:t>
                  </w:r>
                </w:p>
              </w:tc>
              <w:tc>
                <w:tcPr>
                  <w:tcW w:w="761" w:type="pct"/>
                  <w:vAlign w:val="center"/>
                </w:tcPr>
                <w:p>
                  <w:pPr>
                    <w:adjustRightInd w:val="0"/>
                    <w:snapToGrid w:val="0"/>
                    <w:jc w:val="center"/>
                    <w:rPr>
                      <w:rFonts w:hint="default"/>
                      <w:color w:val="auto"/>
                      <w:szCs w:val="21"/>
                      <w:lang w:val="en-US" w:eastAsia="zh-CN"/>
                    </w:rPr>
                  </w:pPr>
                  <w:r>
                    <w:rPr>
                      <w:rFonts w:hint="eastAsia"/>
                      <w:color w:val="auto"/>
                      <w:szCs w:val="21"/>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38" w:type="pct"/>
                  <w:gridSpan w:val="3"/>
                </w:tcPr>
                <w:p>
                  <w:pPr>
                    <w:pStyle w:val="32"/>
                    <w:snapToGrid w:val="0"/>
                    <w:rPr>
                      <w:rFonts w:ascii="宋体" w:hAnsi="宋体" w:eastAsia="宋体"/>
                      <w:color w:val="auto"/>
                    </w:rPr>
                  </w:pPr>
                  <w:r>
                    <w:rPr>
                      <w:rFonts w:hint="eastAsia" w:ascii="宋体" w:hAnsi="宋体" w:eastAsia="宋体"/>
                      <w:b/>
                      <w:bCs/>
                      <w:color w:val="auto"/>
                    </w:rPr>
                    <w:t>合计</w:t>
                  </w:r>
                </w:p>
              </w:tc>
              <w:tc>
                <w:tcPr>
                  <w:tcW w:w="761" w:type="pct"/>
                </w:tcPr>
                <w:p>
                  <w:pPr>
                    <w:pStyle w:val="32"/>
                    <w:snapToGrid w:val="0"/>
                    <w:rPr>
                      <w:rFonts w:hint="default" w:eastAsia="仿宋_GB2312"/>
                      <w:color w:val="auto"/>
                      <w:lang w:val="en-US" w:eastAsia="zh-CN"/>
                    </w:rPr>
                  </w:pPr>
                  <w:r>
                    <w:rPr>
                      <w:rFonts w:hint="eastAsia" w:ascii="Times New Roman" w:hAnsi="Times New Roman" w:eastAsia="宋体" w:cs="Times New Roman"/>
                      <w:color w:val="auto"/>
                      <w:lang w:val="en-US" w:eastAsia="zh-CN"/>
                    </w:rPr>
                    <w:t>98</w:t>
                  </w:r>
                </w:p>
              </w:tc>
            </w:tr>
          </w:tbl>
          <w:p>
            <w:pPr>
              <w:pStyle w:val="32"/>
              <w:jc w:val="both"/>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dxa"/>
            <w:vAlign w:val="center"/>
          </w:tcPr>
          <w:p>
            <w:pPr>
              <w:pStyle w:val="22"/>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b/>
                <w:bCs/>
                <w:color w:val="auto"/>
                <w:szCs w:val="21"/>
              </w:rPr>
              <w:t>工艺流程和产排污环节</w:t>
            </w:r>
          </w:p>
        </w:tc>
        <w:tc>
          <w:tcPr>
            <w:tcW w:w="9127" w:type="dxa"/>
            <w:gridSpan w:val="2"/>
          </w:tcPr>
          <w:p>
            <w:pPr>
              <w:rPr>
                <w:rFonts w:eastAsia="黑体"/>
                <w:bCs/>
                <w:color w:val="auto"/>
                <w:kern w:val="0"/>
                <w:sz w:val="24"/>
                <w:lang w:bidi="ar"/>
              </w:rPr>
            </w:pPr>
            <w:r>
              <w:rPr>
                <w:rFonts w:hint="eastAsia" w:eastAsia="黑体"/>
                <w:bCs/>
                <w:color w:val="auto"/>
                <w:kern w:val="0"/>
                <w:sz w:val="24"/>
                <w:lang w:val="en-US" w:eastAsia="zh-CN" w:bidi="ar"/>
              </w:rPr>
              <w:t>1施工期</w:t>
            </w:r>
            <w:r>
              <w:rPr>
                <w:rFonts w:eastAsia="黑体"/>
                <w:bCs/>
                <w:color w:val="auto"/>
                <w:kern w:val="0"/>
                <w:sz w:val="24"/>
                <w:lang w:bidi="ar"/>
              </w:rPr>
              <w:t>产污环节分析</w:t>
            </w:r>
          </w:p>
          <w:p>
            <w:pPr>
              <w:pStyle w:val="43"/>
              <w:ind w:left="0" w:leftChars="0" w:firstLine="512" w:firstLineChars="200"/>
              <w:rPr>
                <w:rFonts w:hint="eastAsia" w:cs="Times New Roman"/>
                <w:color w:val="auto"/>
                <w:sz w:val="24"/>
                <w:szCs w:val="24"/>
                <w:lang w:eastAsia="zh-CN"/>
              </w:rPr>
            </w:pPr>
            <w:r>
              <w:rPr>
                <w:rFonts w:hint="default" w:ascii="Times New Roman" w:hAnsi="Times New Roman" w:cs="Times New Roman"/>
                <w:color w:val="auto"/>
                <w:sz w:val="24"/>
                <w:szCs w:val="24"/>
              </w:rPr>
              <w:t>项目建设期对环境的影响主要表现为：施工扬尘、施工废水、施工机械噪声 以及施工队伍的生活排污。施工流程及各阶段主要污染物产生见</w:t>
            </w:r>
            <w:r>
              <w:rPr>
                <w:rFonts w:hint="eastAsia" w:cs="Times New Roman"/>
                <w:color w:val="auto"/>
                <w:sz w:val="24"/>
                <w:szCs w:val="24"/>
                <w:lang w:val="en-US" w:eastAsia="zh-CN"/>
              </w:rPr>
              <w:t>下</w:t>
            </w:r>
            <w:r>
              <w:rPr>
                <w:rFonts w:hint="default" w:ascii="Times New Roman" w:hAnsi="Times New Roman" w:cs="Times New Roman"/>
                <w:color w:val="auto"/>
                <w:sz w:val="24"/>
                <w:szCs w:val="24"/>
              </w:rPr>
              <w:t>图</w:t>
            </w:r>
            <w:r>
              <w:rPr>
                <w:rFonts w:hint="eastAsia" w:cs="Times New Roman"/>
                <w:color w:val="auto"/>
                <w:sz w:val="24"/>
                <w:szCs w:val="24"/>
                <w:lang w:eastAsia="zh-CN"/>
              </w:rPr>
              <w:t>。</w:t>
            </w:r>
          </w:p>
          <w:p>
            <w:pPr>
              <w:pStyle w:val="2"/>
              <w:ind w:left="0" w:leftChars="0" w:firstLine="0" w:firstLineChars="0"/>
              <w:rPr>
                <w:rFonts w:hint="eastAsia"/>
                <w:color w:val="auto"/>
                <w:lang w:eastAsia="zh-CN"/>
              </w:rPr>
            </w:pPr>
          </w:p>
          <w:p>
            <w:pPr>
              <w:jc w:val="center"/>
              <w:rPr>
                <w:rFonts w:hint="eastAsia"/>
                <w:color w:val="auto"/>
                <w:lang w:eastAsia="zh-CN"/>
              </w:rPr>
            </w:pPr>
            <w:r>
              <w:rPr>
                <w:color w:val="auto"/>
              </w:rPr>
              <w:drawing>
                <wp:inline distT="0" distB="0" distL="114300" distR="114300">
                  <wp:extent cx="4968240" cy="1758315"/>
                  <wp:effectExtent l="0" t="0" r="3810" b="1333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7"/>
                          <a:stretch>
                            <a:fillRect/>
                          </a:stretch>
                        </pic:blipFill>
                        <pic:spPr>
                          <a:xfrm>
                            <a:off x="0" y="0"/>
                            <a:ext cx="4968240" cy="17583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24"/>
                <w:szCs w:val="24"/>
                <w:lang w:val="en-US" w:eastAsia="zh-CN"/>
              </w:rPr>
            </w:pPr>
            <w:r>
              <w:rPr>
                <w:rFonts w:hint="eastAsia" w:ascii="Times New Roman" w:hAnsi="Times New Roman" w:eastAsia="黑体" w:cs="Times New Roman"/>
                <w:color w:val="auto"/>
                <w:sz w:val="24"/>
                <w:szCs w:val="24"/>
                <w:lang w:val="en-US" w:eastAsia="zh-CN"/>
              </w:rPr>
              <w:t>图2-</w:t>
            </w:r>
            <w:r>
              <w:rPr>
                <w:rFonts w:hint="eastAsia" w:eastAsia="黑体" w:cs="Times New Roman"/>
                <w:color w:val="auto"/>
                <w:sz w:val="24"/>
                <w:szCs w:val="24"/>
                <w:lang w:val="en-US" w:eastAsia="zh-CN"/>
              </w:rPr>
              <w:t>5</w:t>
            </w:r>
            <w:r>
              <w:rPr>
                <w:rFonts w:hint="eastAsia" w:ascii="Times New Roman" w:hAnsi="Times New Roman" w:eastAsia="黑体" w:cs="Times New Roman"/>
                <w:color w:val="auto"/>
                <w:sz w:val="24"/>
                <w:szCs w:val="24"/>
                <w:lang w:val="en-US" w:eastAsia="zh-CN"/>
              </w:rPr>
              <w:t xml:space="preserve">  </w:t>
            </w:r>
            <w:r>
              <w:rPr>
                <w:rFonts w:hint="default" w:ascii="Times New Roman" w:hAnsi="Times New Roman" w:eastAsia="黑体" w:cs="Times New Roman"/>
                <w:color w:val="auto"/>
                <w:sz w:val="24"/>
                <w:szCs w:val="24"/>
              </w:rPr>
              <w:t>施工流程及各阶段主要污染物产生</w:t>
            </w:r>
            <w:r>
              <w:rPr>
                <w:rFonts w:hint="default" w:ascii="Times New Roman" w:hAnsi="Times New Roman" w:eastAsia="黑体" w:cs="Times New Roman"/>
                <w:color w:val="auto"/>
                <w:sz w:val="24"/>
                <w:szCs w:val="24"/>
                <w:lang w:val="en-US" w:eastAsia="zh-CN"/>
              </w:rPr>
              <w:t>图</w:t>
            </w:r>
          </w:p>
          <w:p>
            <w:pPr>
              <w:rPr>
                <w:rFonts w:eastAsia="黑体"/>
                <w:bCs/>
                <w:color w:val="auto"/>
                <w:kern w:val="0"/>
                <w:sz w:val="24"/>
                <w:lang w:bidi="ar"/>
              </w:rPr>
            </w:pPr>
            <w:r>
              <w:rPr>
                <w:rFonts w:hint="eastAsia" w:eastAsia="黑体"/>
                <w:bCs/>
                <w:color w:val="auto"/>
                <w:kern w:val="0"/>
                <w:sz w:val="24"/>
                <w:lang w:val="en-US" w:eastAsia="zh-CN" w:bidi="ar"/>
              </w:rPr>
              <w:t>2运营期</w:t>
            </w:r>
            <w:r>
              <w:rPr>
                <w:rFonts w:eastAsia="黑体"/>
                <w:bCs/>
                <w:color w:val="auto"/>
                <w:kern w:val="0"/>
                <w:sz w:val="24"/>
                <w:lang w:bidi="ar"/>
              </w:rPr>
              <w:t>工艺流程简述及产污环节分析</w:t>
            </w:r>
          </w:p>
          <w:p>
            <w:pPr>
              <w:pStyle w:val="43"/>
              <w:ind w:firstLine="514"/>
              <w:rPr>
                <w:rFonts w:hint="eastAsia"/>
                <w:color w:val="auto"/>
                <w:szCs w:val="32"/>
              </w:rPr>
            </w:pPr>
            <w:r>
              <w:rPr>
                <w:color w:val="auto"/>
                <w:szCs w:val="32"/>
              </w:rPr>
              <w:t>项目运营期工艺流程及产污环节见图</w:t>
            </w:r>
            <w:r>
              <w:rPr>
                <w:rFonts w:hint="eastAsia"/>
                <w:color w:val="auto"/>
                <w:szCs w:val="32"/>
              </w:rPr>
              <w:t>2-</w:t>
            </w:r>
            <w:r>
              <w:rPr>
                <w:rFonts w:hint="eastAsia"/>
                <w:color w:val="auto"/>
                <w:szCs w:val="32"/>
                <w:lang w:val="en-US" w:eastAsia="zh-CN"/>
              </w:rPr>
              <w:t>6</w:t>
            </w:r>
            <w:r>
              <w:rPr>
                <w:rFonts w:hint="eastAsia"/>
                <w:color w:val="auto"/>
                <w:szCs w:val="32"/>
              </w:rPr>
              <w:t>。</w:t>
            </w:r>
          </w:p>
          <w:p>
            <w:pPr>
              <w:widowControl/>
              <w:snapToGrid w:val="0"/>
              <w:spacing w:line="360" w:lineRule="auto"/>
              <w:jc w:val="center"/>
              <w:rPr>
                <w:color w:val="auto"/>
                <w:sz w:val="24"/>
              </w:rPr>
            </w:pPr>
            <w:r>
              <w:rPr>
                <w:color w:val="auto"/>
                <w:sz w:val="24"/>
              </w:rPr>
              <w:object>
                <v:shape id="_x0000_i1025" o:spt="75" type="#_x0000_t75" style="height:145.55pt;width:282.25pt;" o:ole="t" filled="f" o:preferrelative="t" stroked="f" coordsize="21600,21600">
                  <v:path/>
                  <v:fill on="f" focussize="0,0"/>
                  <v:stroke on="f"/>
                  <v:imagedata r:id="rId9" o:title=""/>
                  <o:lock v:ext="edit" aspectratio="t"/>
                  <w10:wrap type="none"/>
                  <w10:anchorlock/>
                </v:shape>
                <o:OLEObject Type="Embed" ProgID="Visio.Drawing.11" ShapeID="_x0000_i1025" DrawAspect="Content" ObjectID="_1468075725" r:id="rId8">
                  <o:LockedField>false</o:LockedField>
                </o:OLEObject>
              </w:object>
            </w:r>
          </w:p>
          <w:p>
            <w:pPr>
              <w:keepNext w:val="0"/>
              <w:keepLines w:val="0"/>
              <w:pageBreakBefore w:val="0"/>
              <w:widowControl/>
              <w:kinsoku/>
              <w:wordWrap/>
              <w:overflowPunct/>
              <w:topLinePunct w:val="0"/>
              <w:autoSpaceDE/>
              <w:autoSpaceDN/>
              <w:bidi w:val="0"/>
              <w:adjustRightInd/>
              <w:snapToGrid/>
              <w:spacing w:line="240" w:lineRule="auto"/>
              <w:ind w:firstLine="512" w:firstLineChars="200"/>
              <w:jc w:val="center"/>
              <w:textAlignment w:val="auto"/>
              <w:rPr>
                <w:rFonts w:eastAsia="黑体"/>
                <w:color w:val="auto"/>
                <w:sz w:val="24"/>
                <w:szCs w:val="32"/>
              </w:rPr>
            </w:pPr>
            <w:r>
              <w:rPr>
                <w:rFonts w:eastAsia="黑体"/>
                <w:color w:val="auto"/>
                <w:sz w:val="24"/>
                <w:szCs w:val="32"/>
              </w:rPr>
              <w:t>图2-</w:t>
            </w:r>
            <w:r>
              <w:rPr>
                <w:rFonts w:hint="eastAsia" w:eastAsia="黑体"/>
                <w:color w:val="auto"/>
                <w:sz w:val="24"/>
                <w:szCs w:val="32"/>
                <w:lang w:val="en-US" w:eastAsia="zh-CN"/>
              </w:rPr>
              <w:t xml:space="preserve">6  </w:t>
            </w:r>
            <w:r>
              <w:rPr>
                <w:rFonts w:eastAsia="黑体"/>
                <w:color w:val="auto"/>
                <w:sz w:val="24"/>
                <w:szCs w:val="32"/>
              </w:rPr>
              <w:t>项目营运期工艺流程及产污环节图</w:t>
            </w:r>
          </w:p>
          <w:p>
            <w:pPr>
              <w:pStyle w:val="86"/>
              <w:widowControl/>
              <w:numPr>
                <w:ilvl w:val="0"/>
                <w:numId w:val="0"/>
              </w:numPr>
              <w:ind w:firstLine="512" w:firstLineChars="200"/>
              <w:jc w:val="left"/>
              <w:rPr>
                <w:rFonts w:hint="eastAsia"/>
                <w:color w:val="auto"/>
                <w:lang w:eastAsia="zh-CN"/>
              </w:rPr>
            </w:pPr>
            <w:r>
              <w:rPr>
                <w:b/>
                <w:bCs/>
                <w:color w:val="auto"/>
              </w:rPr>
              <w:t>工艺流程简述</w:t>
            </w:r>
            <w:r>
              <w:rPr>
                <w:rFonts w:hint="eastAsia"/>
                <w:color w:val="auto"/>
                <w:lang w:eastAsia="zh-CN"/>
              </w:rPr>
              <w:t>：</w:t>
            </w:r>
          </w:p>
          <w:p>
            <w:pPr>
              <w:pStyle w:val="86"/>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512" w:firstLineChars="200"/>
              <w:jc w:val="left"/>
              <w:textAlignment w:val="auto"/>
              <w:rPr>
                <w:rFonts w:hint="eastAsia"/>
                <w:color w:val="auto"/>
                <w:lang w:eastAsia="zh-CN"/>
              </w:rPr>
            </w:pPr>
            <w:r>
              <w:rPr>
                <w:rFonts w:hint="eastAsia"/>
                <w:color w:val="auto"/>
                <w:lang w:eastAsia="zh-CN"/>
              </w:rPr>
              <w:t>1、加油站工艺流程主要包括油品卸油工艺流程、储油及加油工艺流程。</w:t>
            </w:r>
          </w:p>
          <w:p>
            <w:pPr>
              <w:pStyle w:val="86"/>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512" w:firstLineChars="200"/>
              <w:jc w:val="left"/>
              <w:textAlignment w:val="auto"/>
              <w:rPr>
                <w:rFonts w:hint="eastAsia"/>
                <w:color w:val="auto"/>
                <w:lang w:eastAsia="zh-CN"/>
              </w:rPr>
            </w:pPr>
            <w:r>
              <w:rPr>
                <w:rFonts w:hint="eastAsia"/>
                <w:color w:val="auto"/>
                <w:lang w:eastAsia="zh-CN"/>
              </w:rPr>
              <w:t>(1)卸油工艺流程</w:t>
            </w:r>
          </w:p>
          <w:p>
            <w:pPr>
              <w:pStyle w:val="86"/>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512" w:firstLineChars="200"/>
              <w:jc w:val="left"/>
              <w:textAlignment w:val="auto"/>
              <w:rPr>
                <w:rFonts w:hint="eastAsia"/>
                <w:color w:val="auto"/>
                <w:lang w:eastAsia="zh-CN"/>
              </w:rPr>
            </w:pPr>
            <w:r>
              <w:rPr>
                <w:rFonts w:hint="eastAsia"/>
                <w:color w:val="auto"/>
                <w:lang w:eastAsia="zh-CN"/>
              </w:rPr>
              <w:t>①汽油</w:t>
            </w:r>
          </w:p>
          <w:p>
            <w:pPr>
              <w:pStyle w:val="86"/>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512" w:firstLineChars="200"/>
              <w:jc w:val="left"/>
              <w:textAlignment w:val="auto"/>
              <w:rPr>
                <w:rFonts w:hint="eastAsia"/>
                <w:color w:val="auto"/>
                <w:lang w:eastAsia="zh-CN"/>
              </w:rPr>
            </w:pPr>
            <w:r>
              <w:rPr>
                <w:rFonts w:hint="eastAsia"/>
                <w:color w:val="auto"/>
                <w:lang w:eastAsia="zh-CN"/>
              </w:rPr>
              <w:t>汽油油品由油罐车运至加油站，卸油人员接好静电接地报警仪，熄火静置15min。用防静电软管与相对应的油罐卸油口相连接。打开油气回收设备，再打开油车上的出口阀门，通过罐车与储油罐之间的管道以重力自流的方式卸入储油罐中。与卸出油等体积的油气通过油气回收管道被置换到油罐车，完成卸油及油气回收工作。</w:t>
            </w:r>
          </w:p>
          <w:p>
            <w:pPr>
              <w:pStyle w:val="86"/>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512" w:firstLineChars="200"/>
              <w:jc w:val="left"/>
              <w:textAlignment w:val="auto"/>
              <w:rPr>
                <w:rFonts w:hint="eastAsia"/>
                <w:color w:val="auto"/>
                <w:lang w:eastAsia="zh-CN"/>
              </w:rPr>
            </w:pPr>
            <w:r>
              <w:rPr>
                <w:rFonts w:hint="eastAsia"/>
                <w:color w:val="auto"/>
                <w:lang w:eastAsia="zh-CN"/>
              </w:rPr>
              <w:t>②柴油</w:t>
            </w:r>
          </w:p>
          <w:p>
            <w:pPr>
              <w:pStyle w:val="86"/>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512" w:firstLineChars="200"/>
              <w:jc w:val="left"/>
              <w:textAlignment w:val="auto"/>
              <w:rPr>
                <w:rFonts w:hint="eastAsia"/>
                <w:color w:val="auto"/>
                <w:lang w:eastAsia="zh-CN"/>
              </w:rPr>
            </w:pPr>
            <w:r>
              <w:rPr>
                <w:rFonts w:hint="eastAsia"/>
                <w:color w:val="auto"/>
                <w:lang w:eastAsia="zh-CN"/>
              </w:rPr>
              <w:t>柴油由有危险品运输资质的运输公司专用运输车辆运至站内卸油场地以后，接好静电接地报警仪，停车15min（消除车辆运行过程中产生的静电），采用密闭卸油方式，通过DN100的防静电卸油管，将柴油卸入相应的储油罐内储存。</w:t>
            </w:r>
          </w:p>
          <w:p>
            <w:pPr>
              <w:pStyle w:val="86"/>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512" w:firstLineChars="200"/>
              <w:jc w:val="left"/>
              <w:textAlignment w:val="auto"/>
              <w:rPr>
                <w:rFonts w:hint="eastAsia"/>
                <w:color w:val="auto"/>
                <w:lang w:eastAsia="zh-CN"/>
              </w:rPr>
            </w:pPr>
            <w:r>
              <w:rPr>
                <w:rFonts w:hint="eastAsia"/>
                <w:color w:val="auto"/>
                <w:lang w:eastAsia="zh-CN"/>
              </w:rPr>
              <w:t xml:space="preserve">(2)储油 </w:t>
            </w:r>
          </w:p>
          <w:p>
            <w:pPr>
              <w:pStyle w:val="86"/>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512" w:firstLineChars="200"/>
              <w:jc w:val="left"/>
              <w:textAlignment w:val="auto"/>
              <w:rPr>
                <w:rFonts w:hint="eastAsia"/>
                <w:color w:val="auto"/>
                <w:lang w:eastAsia="zh-CN"/>
              </w:rPr>
            </w:pPr>
            <w:r>
              <w:rPr>
                <w:rFonts w:hint="eastAsia"/>
                <w:color w:val="auto"/>
                <w:lang w:eastAsia="zh-CN"/>
              </w:rPr>
              <w:t>本项目设4</w:t>
            </w:r>
            <w:r>
              <w:rPr>
                <w:rFonts w:hint="eastAsia"/>
                <w:color w:val="auto"/>
                <w:lang w:val="en-US" w:eastAsia="zh-CN"/>
              </w:rPr>
              <w:t>个</w:t>
            </w:r>
            <w:r>
              <w:rPr>
                <w:rFonts w:hint="eastAsia"/>
                <w:color w:val="auto"/>
                <w:lang w:eastAsia="zh-CN"/>
              </w:rPr>
              <w:t>埋地油罐，</w:t>
            </w:r>
            <w:r>
              <w:rPr>
                <w:rFonts w:hint="eastAsia"/>
                <w:color w:val="auto"/>
                <w:lang w:val="en-US" w:eastAsia="zh-CN"/>
              </w:rPr>
              <w:t>2个5</w:t>
            </w:r>
            <w:r>
              <w:rPr>
                <w:rFonts w:hint="eastAsia"/>
                <w:color w:val="auto"/>
                <w:lang w:eastAsia="zh-CN"/>
              </w:rPr>
              <w:t>0m³的汽油罐，</w:t>
            </w:r>
            <w:r>
              <w:rPr>
                <w:rFonts w:hint="eastAsia"/>
                <w:color w:val="auto"/>
                <w:lang w:val="en-US" w:eastAsia="zh-CN"/>
              </w:rPr>
              <w:t>2个5</w:t>
            </w:r>
            <w:r>
              <w:rPr>
                <w:rFonts w:hint="eastAsia"/>
                <w:color w:val="auto"/>
                <w:lang w:eastAsia="zh-CN"/>
              </w:rPr>
              <w:t>0m³的柴油罐，有高液位报警功能的液位监测系统及渗漏检测系统，并安装</w:t>
            </w:r>
            <w:r>
              <w:rPr>
                <w:rFonts w:hint="eastAsia"/>
                <w:color w:val="auto"/>
                <w:lang w:val="en-US" w:eastAsia="zh-CN"/>
              </w:rPr>
              <w:t>2</w:t>
            </w:r>
            <w:r>
              <w:rPr>
                <w:rFonts w:hint="eastAsia"/>
                <w:color w:val="auto"/>
                <w:lang w:eastAsia="zh-CN"/>
              </w:rPr>
              <w:t>次油气回收装置。在油管的顶板上装有机械呼吸阀，由压力阀和真空阀组成，当罐内油气压力大于油罐允许压力时，油蒸汽经过压力阀外溢，此时真空阀处于关闭状态，当罐内油气压力小于油罐允许的真空度时，新鲜空气通过真空阀进入罐内，此时压力阀处于关闭状态。允许压力靠调节盘的重量来控制。通过调节平衡油罐内外压力，对油罐储油起到安全保护作用。</w:t>
            </w:r>
          </w:p>
          <w:p>
            <w:pPr>
              <w:pStyle w:val="86"/>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512" w:firstLineChars="200"/>
              <w:jc w:val="left"/>
              <w:textAlignment w:val="auto"/>
              <w:rPr>
                <w:rFonts w:hint="default"/>
                <w:color w:val="auto"/>
                <w:lang w:val="en-US" w:eastAsia="zh-CN"/>
              </w:rPr>
            </w:pPr>
            <w:r>
              <w:rPr>
                <w:rFonts w:hint="default"/>
                <w:color w:val="auto"/>
                <w:lang w:val="en-US" w:eastAsia="zh-CN"/>
              </w:rPr>
              <w:t xml:space="preserve">(3)加油工艺流程 </w:t>
            </w:r>
          </w:p>
          <w:p>
            <w:pPr>
              <w:pStyle w:val="86"/>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512" w:firstLineChars="200"/>
              <w:jc w:val="left"/>
              <w:textAlignment w:val="auto"/>
              <w:rPr>
                <w:rFonts w:hint="default"/>
                <w:color w:val="auto"/>
                <w:lang w:val="en-US" w:eastAsia="zh-CN"/>
              </w:rPr>
            </w:pPr>
            <w:r>
              <w:rPr>
                <w:rFonts w:hint="default"/>
                <w:color w:val="auto"/>
                <w:lang w:val="en-US" w:eastAsia="zh-CN"/>
              </w:rPr>
              <w:t xml:space="preserve">①汽油 </w:t>
            </w:r>
          </w:p>
          <w:p>
            <w:pPr>
              <w:pStyle w:val="86"/>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512" w:firstLineChars="200"/>
              <w:jc w:val="left"/>
              <w:textAlignment w:val="auto"/>
              <w:rPr>
                <w:rFonts w:hint="default"/>
                <w:color w:val="auto"/>
                <w:lang w:val="en-US" w:eastAsia="zh-CN"/>
              </w:rPr>
            </w:pPr>
            <w:r>
              <w:rPr>
                <w:rFonts w:hint="default"/>
                <w:color w:val="auto"/>
                <w:lang w:val="en-US" w:eastAsia="zh-CN"/>
              </w:rPr>
              <w:t>加油时，开启加油枪上的开关，通过加油机体内的控制装置，启动埋地油罐上方的潜油泵电机，通过管路向加油枪供油，加油时汽车油箱内的汽油以油气回收真空泵做动力经过油气分离阀、油气过滤器、比例阀回收至低标号油罐中。当人工触及加油枪上的开关或待加油车油箱内油品液位与加油枪口相平时，通过装在加油枪口的传感器，停止加油。</w:t>
            </w:r>
          </w:p>
          <w:p>
            <w:pPr>
              <w:pStyle w:val="86"/>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512" w:firstLineChars="200"/>
              <w:jc w:val="left"/>
              <w:textAlignment w:val="auto"/>
              <w:rPr>
                <w:rFonts w:hint="default"/>
                <w:color w:val="auto"/>
                <w:lang w:val="en-US" w:eastAsia="zh-CN"/>
              </w:rPr>
            </w:pPr>
            <w:r>
              <w:rPr>
                <w:rFonts w:hint="default"/>
                <w:color w:val="auto"/>
                <w:lang w:val="en-US" w:eastAsia="zh-CN"/>
              </w:rPr>
              <w:t>②柴油</w:t>
            </w:r>
          </w:p>
          <w:p>
            <w:pPr>
              <w:pStyle w:val="86"/>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512" w:firstLineChars="200"/>
              <w:jc w:val="left"/>
              <w:textAlignment w:val="auto"/>
              <w:rPr>
                <w:rFonts w:hint="default"/>
                <w:color w:val="auto"/>
                <w:lang w:val="en-US" w:eastAsia="zh-CN"/>
              </w:rPr>
            </w:pPr>
            <w:r>
              <w:rPr>
                <w:rFonts w:hint="default"/>
                <w:color w:val="auto"/>
                <w:lang w:val="en-US" w:eastAsia="zh-CN"/>
              </w:rPr>
              <w:t>加油时柴油通过潜液泵，经DN50的输油管道送往自封式税控加油机，经计量后加入待加油车辆的油箱。</w:t>
            </w:r>
          </w:p>
          <w:p>
            <w:pPr>
              <w:pStyle w:val="25"/>
              <w:widowControl w:val="0"/>
              <w:numPr>
                <w:ilvl w:val="0"/>
                <w:numId w:val="0"/>
              </w:numPr>
              <w:snapToGrid/>
              <w:spacing w:before="0" w:after="0" w:line="240" w:lineRule="auto"/>
              <w:ind w:left="514" w:leftChars="0" w:right="0" w:rightChars="0"/>
              <w:rPr>
                <w:rFonts w:hint="eastAsia" w:eastAsia="宋体"/>
                <w:b/>
                <w:bCs/>
                <w:color w:val="auto"/>
                <w:sz w:val="24"/>
                <w:szCs w:val="24"/>
                <w:lang w:eastAsia="zh-CN"/>
              </w:rPr>
            </w:pPr>
            <w:r>
              <w:rPr>
                <w:b/>
                <w:bCs/>
                <w:color w:val="auto"/>
                <w:sz w:val="24"/>
                <w:szCs w:val="24"/>
              </w:rPr>
              <w:t>产污环节</w:t>
            </w:r>
            <w:r>
              <w:rPr>
                <w:rFonts w:hint="eastAsia"/>
                <w:b/>
                <w:bCs/>
                <w:color w:val="auto"/>
                <w:sz w:val="24"/>
                <w:szCs w:val="24"/>
                <w:lang w:eastAsia="zh-CN"/>
              </w:rPr>
              <w:t>：</w:t>
            </w:r>
          </w:p>
          <w:p>
            <w:pPr>
              <w:pStyle w:val="25"/>
              <w:widowControl w:val="0"/>
              <w:snapToGrid/>
              <w:spacing w:before="0" w:after="0" w:line="240" w:lineRule="auto"/>
              <w:ind w:right="0" w:firstLine="512"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废气：储油罐无组织排放</w:t>
            </w:r>
            <w:r>
              <w:rPr>
                <w:rFonts w:hint="eastAsia" w:cs="Times New Roman"/>
                <w:color w:val="auto"/>
                <w:sz w:val="24"/>
                <w:szCs w:val="24"/>
                <w:lang w:eastAsia="zh-CN"/>
              </w:rPr>
              <w:t>；</w:t>
            </w:r>
            <w:r>
              <w:rPr>
                <w:rFonts w:hint="default" w:ascii="Times New Roman" w:hAnsi="Times New Roman" w:cs="Times New Roman"/>
                <w:color w:val="auto"/>
                <w:sz w:val="24"/>
                <w:szCs w:val="24"/>
              </w:rPr>
              <w:t>加、卸油过程中产生的油气；</w:t>
            </w:r>
          </w:p>
          <w:p>
            <w:pPr>
              <w:pStyle w:val="25"/>
              <w:widowControl w:val="0"/>
              <w:snapToGrid/>
              <w:spacing w:before="0" w:after="0" w:line="240" w:lineRule="auto"/>
              <w:ind w:right="0" w:firstLine="512"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噪声：</w:t>
            </w:r>
            <w:r>
              <w:rPr>
                <w:rFonts w:hint="default" w:ascii="Times New Roman" w:hAnsi="Times New Roman" w:cs="Times New Roman"/>
                <w:color w:val="auto"/>
                <w:sz w:val="24"/>
                <w:szCs w:val="24"/>
                <w:lang w:val="en-US" w:eastAsia="zh-CN"/>
              </w:rPr>
              <w:t>加油机</w:t>
            </w:r>
            <w:r>
              <w:rPr>
                <w:rFonts w:hint="eastAsia" w:cs="Times New Roman"/>
                <w:color w:val="auto"/>
                <w:sz w:val="24"/>
                <w:szCs w:val="24"/>
                <w:lang w:val="en-US" w:eastAsia="zh-CN"/>
              </w:rPr>
              <w:t>、潜油泵</w:t>
            </w:r>
            <w:r>
              <w:rPr>
                <w:rFonts w:hint="default" w:ascii="Times New Roman" w:hAnsi="Times New Roman" w:cs="Times New Roman"/>
                <w:color w:val="auto"/>
                <w:sz w:val="24"/>
                <w:szCs w:val="24"/>
              </w:rPr>
              <w:t>等设备运行噪声</w:t>
            </w:r>
            <w:r>
              <w:rPr>
                <w:rFonts w:hint="default" w:ascii="Times New Roman" w:hAnsi="Times New Roman" w:cs="Times New Roman"/>
                <w:color w:val="auto"/>
                <w:sz w:val="24"/>
                <w:szCs w:val="24"/>
                <w:lang w:eastAsia="zh-CN"/>
              </w:rPr>
              <w:t>；</w:t>
            </w:r>
          </w:p>
          <w:p>
            <w:pPr>
              <w:pStyle w:val="25"/>
              <w:widowControl w:val="0"/>
              <w:snapToGrid/>
              <w:spacing w:before="0" w:after="0" w:line="240" w:lineRule="auto"/>
              <w:ind w:right="0" w:firstLine="512" w:firstLineChars="200"/>
              <w:rPr>
                <w:color w:val="auto"/>
              </w:rPr>
            </w:pPr>
            <w:r>
              <w:rPr>
                <w:rFonts w:hint="default" w:ascii="Times New Roman" w:hAnsi="Times New Roman" w:cs="Times New Roman"/>
                <w:color w:val="auto"/>
                <w:sz w:val="24"/>
                <w:szCs w:val="24"/>
              </w:rPr>
              <w:t>固体废物：</w:t>
            </w:r>
            <w:r>
              <w:rPr>
                <w:rFonts w:hint="default" w:ascii="Times New Roman" w:hAnsi="Times New Roman" w:cs="Times New Roman"/>
                <w:color w:val="auto"/>
                <w:sz w:val="24"/>
                <w:szCs w:val="24"/>
                <w:lang w:val="zh-CN"/>
              </w:rPr>
              <w:t>生活垃圾、清理油罐产生的油</w:t>
            </w:r>
            <w:r>
              <w:rPr>
                <w:rFonts w:hint="eastAsia" w:cs="Times New Roman"/>
                <w:color w:val="auto"/>
                <w:sz w:val="24"/>
                <w:szCs w:val="24"/>
                <w:lang w:val="en-US" w:eastAsia="zh-CN"/>
              </w:rPr>
              <w:t>泥</w:t>
            </w:r>
            <w:r>
              <w:rPr>
                <w:rFonts w:hint="default" w:ascii="Times New Roman" w:hAnsi="Times New Roman" w:cs="Times New Roman"/>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55" w:type="dxa"/>
          <w:trHeight w:val="3379" w:hRule="atLeast"/>
          <w:jc w:val="center"/>
        </w:trPr>
        <w:tc>
          <w:tcPr>
            <w:tcW w:w="625" w:type="dxa"/>
            <w:vAlign w:val="center"/>
          </w:tcPr>
          <w:p>
            <w:pPr>
              <w:pStyle w:val="22"/>
              <w:adjustRightInd w:val="0"/>
              <w:snapToGrid w:val="0"/>
              <w:spacing w:before="0" w:beforeAutospacing="0" w:after="0" w:afterAutospacing="0"/>
              <w:jc w:val="center"/>
              <w:rPr>
                <w:color w:val="auto"/>
              </w:rPr>
            </w:pPr>
            <w:r>
              <w:rPr>
                <w:rFonts w:ascii="Times New Roman" w:hAnsi="Times New Roman"/>
                <w:b/>
                <w:bCs/>
                <w:color w:val="auto"/>
                <w:kern w:val="2"/>
                <w:szCs w:val="21"/>
              </w:rPr>
              <w:t>原有环境污染问题</w:t>
            </w:r>
          </w:p>
        </w:tc>
        <w:tc>
          <w:tcPr>
            <w:tcW w:w="9072" w:type="dxa"/>
            <w:vAlign w:val="center"/>
          </w:tcPr>
          <w:p>
            <w:pPr>
              <w:pStyle w:val="32"/>
              <w:ind w:firstLine="512" w:firstLineChars="200"/>
              <w:jc w:val="left"/>
              <w:rPr>
                <w:rFonts w:hint="eastAsia" w:ascii="宋体" w:hAnsi="宋体" w:eastAsia="宋体" w:cs="宋体"/>
                <w:color w:val="auto"/>
                <w:sz w:val="24"/>
              </w:rPr>
            </w:pPr>
            <w:r>
              <w:rPr>
                <w:rFonts w:hint="eastAsia" w:ascii="宋体" w:hAnsi="宋体" w:eastAsia="宋体" w:cs="宋体"/>
                <w:color w:val="auto"/>
                <w:sz w:val="24"/>
              </w:rPr>
              <w:t>本项目属于新建项目，位于</w:t>
            </w:r>
            <w:r>
              <w:rPr>
                <w:rFonts w:hint="eastAsia" w:ascii="宋体" w:hAnsi="宋体" w:eastAsia="宋体" w:cs="宋体"/>
                <w:color w:val="auto"/>
                <w:sz w:val="24"/>
                <w:szCs w:val="24"/>
                <w:lang w:val="en-US" w:eastAsia="zh-CN"/>
              </w:rPr>
              <w:t>中宁县</w:t>
            </w:r>
            <w:r>
              <w:rPr>
                <w:rFonts w:hint="eastAsia" w:ascii="Times New Roman" w:hAnsi="Times New Roman" w:eastAsia="宋体" w:cs="Times New Roman"/>
                <w:b w:val="0"/>
                <w:color w:val="auto"/>
                <w:sz w:val="24"/>
                <w:szCs w:val="24"/>
                <w:lang w:val="en-US" w:eastAsia="zh-CN"/>
              </w:rPr>
              <w:t>新堡镇新堡村G109复线与S101线交叉口东南侧300m处</w:t>
            </w:r>
            <w:r>
              <w:rPr>
                <w:rFonts w:hint="eastAsia" w:ascii="宋体" w:hAnsi="宋体" w:eastAsia="宋体" w:cs="宋体"/>
                <w:color w:val="auto"/>
                <w:sz w:val="24"/>
              </w:rPr>
              <w:t>。项目地块现</w:t>
            </w:r>
            <w:r>
              <w:rPr>
                <w:rFonts w:hint="eastAsia" w:ascii="宋体" w:hAnsi="宋体" w:eastAsia="宋体" w:cs="宋体"/>
                <w:color w:val="auto"/>
                <w:sz w:val="24"/>
                <w:lang w:val="en-US" w:eastAsia="zh-CN"/>
              </w:rPr>
              <w:t>状为闲置空地</w:t>
            </w:r>
            <w:r>
              <w:rPr>
                <w:rFonts w:hint="eastAsia" w:ascii="宋体" w:hAnsi="宋体" w:eastAsia="宋体" w:cs="宋体"/>
                <w:color w:val="auto"/>
                <w:sz w:val="24"/>
              </w:rPr>
              <w:t>，未发现与本项目有关的原有污染情况。</w:t>
            </w:r>
          </w:p>
        </w:tc>
      </w:tr>
    </w:tbl>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三、区域环境质量现状、环境保护目标及评价标准</w:t>
      </w:r>
    </w:p>
    <w:tbl>
      <w:tblPr>
        <w:tblStyle w:val="26"/>
        <w:tblW w:w="975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80"/>
        <w:gridCol w:w="917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0" w:type="dxa"/>
            <w:vAlign w:val="center"/>
          </w:tcPr>
          <w:p>
            <w:pPr>
              <w:adjustRightInd w:val="0"/>
              <w:snapToGrid w:val="0"/>
              <w:jc w:val="center"/>
              <w:rPr>
                <w:b/>
                <w:bCs/>
                <w:color w:val="auto"/>
                <w:kern w:val="0"/>
                <w:sz w:val="24"/>
                <w:szCs w:val="21"/>
              </w:rPr>
            </w:pPr>
            <w:r>
              <w:rPr>
                <w:b/>
                <w:bCs/>
                <w:color w:val="auto"/>
                <w:kern w:val="0"/>
                <w:sz w:val="24"/>
                <w:szCs w:val="21"/>
              </w:rPr>
              <w:t>区域</w:t>
            </w:r>
          </w:p>
          <w:p>
            <w:pPr>
              <w:adjustRightInd w:val="0"/>
              <w:snapToGrid w:val="0"/>
              <w:jc w:val="center"/>
              <w:rPr>
                <w:b/>
                <w:bCs/>
                <w:color w:val="auto"/>
                <w:kern w:val="0"/>
                <w:sz w:val="24"/>
                <w:szCs w:val="21"/>
              </w:rPr>
            </w:pPr>
            <w:r>
              <w:rPr>
                <w:b/>
                <w:bCs/>
                <w:color w:val="auto"/>
                <w:kern w:val="0"/>
                <w:sz w:val="24"/>
                <w:szCs w:val="21"/>
              </w:rPr>
              <w:t>环境</w:t>
            </w:r>
          </w:p>
          <w:p>
            <w:pPr>
              <w:adjustRightInd w:val="0"/>
              <w:snapToGrid w:val="0"/>
              <w:jc w:val="center"/>
              <w:rPr>
                <w:b/>
                <w:bCs/>
                <w:color w:val="auto"/>
                <w:kern w:val="0"/>
                <w:sz w:val="24"/>
                <w:szCs w:val="21"/>
              </w:rPr>
            </w:pPr>
            <w:r>
              <w:rPr>
                <w:b/>
                <w:bCs/>
                <w:color w:val="auto"/>
                <w:kern w:val="0"/>
                <w:sz w:val="24"/>
                <w:szCs w:val="21"/>
              </w:rPr>
              <w:t>质量</w:t>
            </w:r>
          </w:p>
          <w:p>
            <w:pPr>
              <w:adjustRightInd w:val="0"/>
              <w:snapToGrid w:val="0"/>
              <w:jc w:val="center"/>
              <w:rPr>
                <w:color w:val="auto"/>
                <w:kern w:val="0"/>
                <w:szCs w:val="21"/>
              </w:rPr>
            </w:pPr>
            <w:r>
              <w:rPr>
                <w:b/>
                <w:bCs/>
                <w:color w:val="auto"/>
                <w:kern w:val="0"/>
                <w:sz w:val="24"/>
                <w:szCs w:val="21"/>
              </w:rPr>
              <w:t>现状</w:t>
            </w:r>
          </w:p>
        </w:tc>
        <w:tc>
          <w:tcPr>
            <w:tcW w:w="8983" w:type="dxa"/>
            <w:vAlign w:val="center"/>
          </w:tcPr>
          <w:p>
            <w:pPr>
              <w:keepNext/>
              <w:keepLines/>
              <w:outlineLvl w:val="2"/>
              <w:rPr>
                <w:rFonts w:hint="default" w:ascii="Times New Roman" w:hAnsi="Times New Roman" w:eastAsia="黑体" w:cs="Times New Roman"/>
                <w:color w:val="auto"/>
                <w:sz w:val="24"/>
                <w:szCs w:val="32"/>
              </w:rPr>
            </w:pPr>
            <w:r>
              <w:rPr>
                <w:rFonts w:hint="default" w:ascii="Times New Roman" w:hAnsi="Times New Roman" w:eastAsia="黑体" w:cs="Times New Roman"/>
                <w:color w:val="auto"/>
                <w:sz w:val="24"/>
                <w:szCs w:val="32"/>
              </w:rPr>
              <w:t>1环境空气质量状况</w:t>
            </w:r>
          </w:p>
          <w:p>
            <w:pPr>
              <w:pStyle w:val="43"/>
              <w:ind w:firstLine="514"/>
              <w:rPr>
                <w:color w:val="auto"/>
              </w:rPr>
            </w:pPr>
            <w:r>
              <w:rPr>
                <w:rFonts w:hint="eastAsia"/>
                <w:color w:val="auto"/>
              </w:rPr>
              <w:t>根据《建设项目环境影响报告表编制技术指南（污染影响类）（试行）》要求</w:t>
            </w:r>
            <w:r>
              <w:rPr>
                <w:color w:val="auto"/>
              </w:rPr>
              <w:t>“</w:t>
            </w:r>
            <w:r>
              <w:rPr>
                <w:rFonts w:hint="eastAsia"/>
                <w:color w:val="auto"/>
              </w:rPr>
              <w:t>大气环境常规污染物引用与建设项目距离较近的有效数据，包括近</w:t>
            </w:r>
            <w:r>
              <w:rPr>
                <w:color w:val="auto"/>
              </w:rPr>
              <w:t>3</w:t>
            </w:r>
            <w:r>
              <w:rPr>
                <w:rFonts w:hint="eastAsia"/>
                <w:color w:val="auto"/>
              </w:rPr>
              <w:t>年的规划环境影响评价的监测数据，国家、地方环境空气质量监测数据。</w:t>
            </w:r>
          </w:p>
          <w:p>
            <w:pPr>
              <w:pStyle w:val="43"/>
              <w:ind w:firstLine="514"/>
              <w:rPr>
                <w:color w:val="auto"/>
              </w:rPr>
            </w:pPr>
            <w:r>
              <w:rPr>
                <w:rFonts w:hint="eastAsia"/>
                <w:color w:val="auto"/>
              </w:rPr>
              <w:t>本项目位于</w:t>
            </w:r>
            <w:r>
              <w:rPr>
                <w:rFonts w:hint="eastAsia"/>
                <w:color w:val="auto"/>
                <w:lang w:val="en-US" w:eastAsia="zh-CN"/>
              </w:rPr>
              <w:t>中卫市中宁县</w:t>
            </w:r>
            <w:r>
              <w:rPr>
                <w:rFonts w:hint="eastAsia"/>
                <w:color w:val="auto"/>
              </w:rPr>
              <w:t>，根据《2020年宁夏生态环境质量状况》公布的</w:t>
            </w:r>
            <w:r>
              <w:rPr>
                <w:rFonts w:hint="eastAsia"/>
                <w:color w:val="auto"/>
                <w:lang w:val="en-US" w:eastAsia="zh-CN"/>
              </w:rPr>
              <w:t>中卫</w:t>
            </w:r>
            <w:r>
              <w:rPr>
                <w:rFonts w:hint="eastAsia"/>
                <w:color w:val="auto"/>
              </w:rPr>
              <w:t>市</w:t>
            </w:r>
            <w:r>
              <w:rPr>
                <w:rFonts w:hint="eastAsia"/>
                <w:color w:val="auto"/>
                <w:lang w:val="en-US" w:eastAsia="zh-CN"/>
              </w:rPr>
              <w:t>2020</w:t>
            </w:r>
            <w:r>
              <w:rPr>
                <w:rFonts w:hint="eastAsia"/>
                <w:color w:val="auto"/>
              </w:rPr>
              <w:t>年环境质量数据，</w:t>
            </w:r>
            <w:r>
              <w:rPr>
                <w:rFonts w:hint="eastAsia"/>
                <w:color w:val="auto"/>
                <w:lang w:val="en-US" w:eastAsia="zh-CN"/>
              </w:rPr>
              <w:t>项目所在区域公布的</w:t>
            </w:r>
            <w:r>
              <w:rPr>
                <w:rFonts w:hint="eastAsia"/>
                <w:color w:val="auto"/>
              </w:rPr>
              <w:t>环境空气质量状况见表</w:t>
            </w:r>
            <w:r>
              <w:rPr>
                <w:color w:val="auto"/>
              </w:rPr>
              <w:t>3-1</w:t>
            </w:r>
            <w:r>
              <w:rPr>
                <w:rFonts w:hint="eastAsia"/>
                <w:color w:val="auto"/>
              </w:rPr>
              <w:t>。</w:t>
            </w:r>
          </w:p>
          <w:p>
            <w:pPr>
              <w:pStyle w:val="55"/>
              <w:rPr>
                <w:color w:val="auto"/>
              </w:rPr>
            </w:pPr>
            <w:r>
              <w:rPr>
                <w:rFonts w:hint="eastAsia"/>
                <w:color w:val="auto"/>
              </w:rPr>
              <w:t>表</w:t>
            </w:r>
            <w:r>
              <w:rPr>
                <w:color w:val="auto"/>
              </w:rPr>
              <w:t xml:space="preserve">3-1  </w:t>
            </w:r>
            <w:r>
              <w:rPr>
                <w:rFonts w:hint="eastAsia"/>
                <w:color w:val="auto"/>
              </w:rPr>
              <w:t>区域环境质量现状监测结果统计表</w:t>
            </w:r>
          </w:p>
          <w:tbl>
            <w:tblPr>
              <w:tblStyle w:val="26"/>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24"/>
              <w:gridCol w:w="3011"/>
              <w:gridCol w:w="1370"/>
              <w:gridCol w:w="1381"/>
              <w:gridCol w:w="1026"/>
              <w:gridCol w:w="123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16" w:type="pct"/>
                  <w:tcBorders>
                    <w:top w:val="single" w:color="000000" w:sz="12" w:space="0"/>
                    <w:left w:val="nil"/>
                    <w:bottom w:val="single" w:color="000000" w:sz="4" w:space="0"/>
                    <w:right w:val="single" w:color="000000" w:sz="4" w:space="0"/>
                  </w:tcBorders>
                  <w:vAlign w:val="center"/>
                </w:tcPr>
                <w:p>
                  <w:pPr>
                    <w:adjustRightInd w:val="0"/>
                    <w:snapToGrid w:val="0"/>
                    <w:jc w:val="center"/>
                    <w:rPr>
                      <w:color w:val="auto"/>
                    </w:rPr>
                  </w:pPr>
                  <w:r>
                    <w:rPr>
                      <w:rFonts w:hint="eastAsia"/>
                      <w:color w:val="auto"/>
                    </w:rPr>
                    <w:t>污染物</w:t>
                  </w:r>
                </w:p>
              </w:tc>
              <w:tc>
                <w:tcPr>
                  <w:tcW w:w="1681" w:type="pct"/>
                  <w:tcBorders>
                    <w:top w:val="single" w:color="000000" w:sz="12"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rFonts w:hint="eastAsia"/>
                      <w:color w:val="auto"/>
                    </w:rPr>
                    <w:t>年评价指标</w:t>
                  </w:r>
                </w:p>
              </w:tc>
              <w:tc>
                <w:tcPr>
                  <w:tcW w:w="765" w:type="pct"/>
                  <w:tcBorders>
                    <w:top w:val="single" w:color="000000" w:sz="12"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rFonts w:hint="eastAsia"/>
                      <w:color w:val="auto"/>
                    </w:rPr>
                    <w:t>现状浓度</w:t>
                  </w:r>
                </w:p>
                <w:p>
                  <w:pPr>
                    <w:adjustRightInd w:val="0"/>
                    <w:snapToGrid w:val="0"/>
                    <w:jc w:val="center"/>
                    <w:rPr>
                      <w:color w:val="auto"/>
                    </w:rPr>
                  </w:pPr>
                  <w:r>
                    <w:rPr>
                      <w:rFonts w:hint="eastAsia"/>
                      <w:color w:val="auto"/>
                    </w:rPr>
                    <w:t>（</w:t>
                  </w:r>
                  <w:r>
                    <w:rPr>
                      <w:color w:val="auto"/>
                    </w:rPr>
                    <w:t>μg/m</w:t>
                  </w:r>
                  <w:r>
                    <w:rPr>
                      <w:color w:val="auto"/>
                      <w:vertAlign w:val="superscript"/>
                    </w:rPr>
                    <w:t>3</w:t>
                  </w:r>
                  <w:r>
                    <w:rPr>
                      <w:rFonts w:hint="eastAsia"/>
                      <w:color w:val="auto"/>
                    </w:rPr>
                    <w:t>）</w:t>
                  </w:r>
                </w:p>
              </w:tc>
              <w:tc>
                <w:tcPr>
                  <w:tcW w:w="771" w:type="pct"/>
                  <w:tcBorders>
                    <w:top w:val="single" w:color="000000" w:sz="12"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rFonts w:hint="eastAsia"/>
                      <w:color w:val="auto"/>
                    </w:rPr>
                    <w:t>标准值</w:t>
                  </w:r>
                </w:p>
                <w:p>
                  <w:pPr>
                    <w:adjustRightInd w:val="0"/>
                    <w:snapToGrid w:val="0"/>
                    <w:jc w:val="center"/>
                    <w:rPr>
                      <w:color w:val="auto"/>
                    </w:rPr>
                  </w:pPr>
                  <w:r>
                    <w:rPr>
                      <w:rFonts w:hint="eastAsia"/>
                      <w:color w:val="auto"/>
                    </w:rPr>
                    <w:t>（</w:t>
                  </w:r>
                  <w:r>
                    <w:rPr>
                      <w:color w:val="auto"/>
                    </w:rPr>
                    <w:t>μg/m</w:t>
                  </w:r>
                  <w:r>
                    <w:rPr>
                      <w:color w:val="auto"/>
                      <w:vertAlign w:val="superscript"/>
                    </w:rPr>
                    <w:t>3</w:t>
                  </w:r>
                  <w:r>
                    <w:rPr>
                      <w:rFonts w:hint="eastAsia"/>
                      <w:color w:val="auto"/>
                    </w:rPr>
                    <w:t>）</w:t>
                  </w:r>
                </w:p>
              </w:tc>
              <w:tc>
                <w:tcPr>
                  <w:tcW w:w="573" w:type="pct"/>
                  <w:tcBorders>
                    <w:top w:val="single" w:color="000000" w:sz="12"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rFonts w:hint="eastAsia"/>
                      <w:color w:val="auto"/>
                    </w:rPr>
                    <w:t>占标率</w:t>
                  </w:r>
                </w:p>
                <w:p>
                  <w:pPr>
                    <w:adjustRightInd w:val="0"/>
                    <w:snapToGrid w:val="0"/>
                    <w:jc w:val="center"/>
                    <w:rPr>
                      <w:color w:val="auto"/>
                    </w:rPr>
                  </w:pPr>
                  <w:r>
                    <w:rPr>
                      <w:rFonts w:hint="eastAsia"/>
                      <w:color w:val="auto"/>
                    </w:rPr>
                    <w:t>（</w:t>
                  </w:r>
                  <w:r>
                    <w:rPr>
                      <w:color w:val="auto"/>
                    </w:rPr>
                    <w:t>%</w:t>
                  </w:r>
                  <w:r>
                    <w:rPr>
                      <w:rFonts w:hint="eastAsia"/>
                      <w:color w:val="auto"/>
                    </w:rPr>
                    <w:t>）</w:t>
                  </w:r>
                </w:p>
              </w:tc>
              <w:tc>
                <w:tcPr>
                  <w:tcW w:w="691" w:type="pct"/>
                  <w:tcBorders>
                    <w:top w:val="single" w:color="000000" w:sz="12" w:space="0"/>
                    <w:left w:val="single" w:color="000000" w:sz="4" w:space="0"/>
                    <w:bottom w:val="single" w:color="000000" w:sz="4" w:space="0"/>
                    <w:right w:val="nil"/>
                  </w:tcBorders>
                  <w:vAlign w:val="center"/>
                </w:tcPr>
                <w:p>
                  <w:pPr>
                    <w:adjustRightInd w:val="0"/>
                    <w:snapToGrid w:val="0"/>
                    <w:jc w:val="center"/>
                    <w:rPr>
                      <w:color w:val="auto"/>
                    </w:rPr>
                  </w:pPr>
                  <w:r>
                    <w:rPr>
                      <w:rFonts w:hint="eastAsia"/>
                      <w:color w:val="auto"/>
                    </w:rPr>
                    <w:t>达标情况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16" w:type="pct"/>
                  <w:tcBorders>
                    <w:top w:val="single" w:color="000000" w:sz="4" w:space="0"/>
                    <w:left w:val="nil"/>
                    <w:bottom w:val="single" w:color="000000" w:sz="4" w:space="0"/>
                    <w:right w:val="single" w:color="000000" w:sz="4" w:space="0"/>
                  </w:tcBorders>
                  <w:vAlign w:val="center"/>
                </w:tcPr>
                <w:p>
                  <w:pPr>
                    <w:adjustRightInd w:val="0"/>
                    <w:snapToGrid w:val="0"/>
                    <w:jc w:val="center"/>
                    <w:rPr>
                      <w:color w:val="auto"/>
                    </w:rPr>
                  </w:pPr>
                  <w:r>
                    <w:rPr>
                      <w:color w:val="auto"/>
                    </w:rPr>
                    <w:t>PM</w:t>
                  </w:r>
                  <w:r>
                    <w:rPr>
                      <w:color w:val="auto"/>
                      <w:vertAlign w:val="subscript"/>
                    </w:rPr>
                    <w:t>10</w:t>
                  </w:r>
                </w:p>
              </w:tc>
              <w:tc>
                <w:tcPr>
                  <w:tcW w:w="168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rFonts w:hint="eastAsia"/>
                      <w:color w:val="auto"/>
                    </w:rPr>
                    <w:t>年平均质量浓度</w:t>
                  </w:r>
                </w:p>
              </w:tc>
              <w:tc>
                <w:tcPr>
                  <w:tcW w:w="76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eastAsia="宋体"/>
                      <w:color w:val="auto"/>
                      <w:lang w:val="en-US" w:eastAsia="zh-CN"/>
                    </w:rPr>
                  </w:pPr>
                  <w:r>
                    <w:rPr>
                      <w:rFonts w:hint="eastAsia" w:eastAsia="宋体"/>
                      <w:color w:val="auto"/>
                      <w:lang w:val="en-US" w:eastAsia="zh-CN"/>
                    </w:rPr>
                    <w:t>8</w:t>
                  </w:r>
                  <w:r>
                    <w:rPr>
                      <w:rFonts w:hint="eastAsia"/>
                      <w:color w:val="auto"/>
                      <w:lang w:val="en-US" w:eastAsia="zh-CN"/>
                    </w:rPr>
                    <w:t>4</w:t>
                  </w:r>
                </w:p>
              </w:tc>
              <w:tc>
                <w:tcPr>
                  <w:tcW w:w="77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eastAsia="宋体"/>
                      <w:color w:val="auto"/>
                      <w:lang w:val="en-US" w:eastAsia="zh-CN"/>
                    </w:rPr>
                  </w:pPr>
                  <w:r>
                    <w:rPr>
                      <w:rFonts w:hint="default" w:eastAsia="宋体"/>
                      <w:color w:val="auto"/>
                      <w:lang w:val="en-US" w:eastAsia="zh-CN"/>
                    </w:rPr>
                    <w:t>70</w:t>
                  </w:r>
                </w:p>
              </w:tc>
              <w:tc>
                <w:tcPr>
                  <w:tcW w:w="57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eastAsia="宋体"/>
                      <w:color w:val="auto"/>
                      <w:lang w:val="en-US" w:eastAsia="zh-CN"/>
                    </w:rPr>
                  </w:pPr>
                  <w:r>
                    <w:rPr>
                      <w:rFonts w:hint="default" w:eastAsia="宋体"/>
                      <w:color w:val="auto"/>
                      <w:lang w:val="en-US" w:eastAsia="zh-CN"/>
                    </w:rPr>
                    <w:t>1</w:t>
                  </w:r>
                  <w:r>
                    <w:rPr>
                      <w:rFonts w:hint="eastAsia"/>
                      <w:color w:val="auto"/>
                      <w:lang w:val="en-US" w:eastAsia="zh-CN"/>
                    </w:rPr>
                    <w:t>20.0</w:t>
                  </w:r>
                  <w:r>
                    <w:rPr>
                      <w:rFonts w:hint="default" w:eastAsia="宋体"/>
                      <w:color w:val="auto"/>
                      <w:lang w:val="en-US" w:eastAsia="zh-CN"/>
                    </w:rPr>
                    <w:t xml:space="preserve"> </w:t>
                  </w:r>
                </w:p>
              </w:tc>
              <w:tc>
                <w:tcPr>
                  <w:tcW w:w="691" w:type="pct"/>
                  <w:tcBorders>
                    <w:top w:val="single" w:color="000000" w:sz="4" w:space="0"/>
                    <w:left w:val="single" w:color="000000" w:sz="4" w:space="0"/>
                    <w:bottom w:val="single" w:color="000000" w:sz="4" w:space="0"/>
                    <w:right w:val="nil"/>
                  </w:tcBorders>
                  <w:vAlign w:val="center"/>
                </w:tcPr>
                <w:p>
                  <w:pPr>
                    <w:adjustRightInd w:val="0"/>
                    <w:snapToGrid w:val="0"/>
                    <w:jc w:val="center"/>
                    <w:rPr>
                      <w:rFonts w:hint="default" w:eastAsia="宋体"/>
                      <w:color w:val="auto"/>
                      <w:lang w:val="en-US" w:eastAsia="zh-CN"/>
                    </w:rPr>
                  </w:pPr>
                  <w:r>
                    <w:rPr>
                      <w:rFonts w:hint="eastAsia" w:eastAsia="宋体"/>
                      <w:color w:val="auto"/>
                      <w:lang w:val="en-US" w:eastAsia="zh-CN"/>
                    </w:rPr>
                    <w:t>超标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16" w:type="pct"/>
                  <w:tcBorders>
                    <w:top w:val="single" w:color="000000" w:sz="4" w:space="0"/>
                    <w:left w:val="nil"/>
                    <w:bottom w:val="single" w:color="000000" w:sz="4" w:space="0"/>
                    <w:right w:val="single" w:color="000000" w:sz="4" w:space="0"/>
                  </w:tcBorders>
                  <w:vAlign w:val="center"/>
                </w:tcPr>
                <w:p>
                  <w:pPr>
                    <w:adjustRightInd w:val="0"/>
                    <w:snapToGrid w:val="0"/>
                    <w:jc w:val="center"/>
                    <w:rPr>
                      <w:color w:val="auto"/>
                    </w:rPr>
                  </w:pPr>
                  <w:r>
                    <w:rPr>
                      <w:color w:val="auto"/>
                    </w:rPr>
                    <w:t>PM</w:t>
                  </w:r>
                  <w:r>
                    <w:rPr>
                      <w:color w:val="auto"/>
                      <w:vertAlign w:val="subscript"/>
                    </w:rPr>
                    <w:t>2.5</w:t>
                  </w:r>
                </w:p>
              </w:tc>
              <w:tc>
                <w:tcPr>
                  <w:tcW w:w="168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rFonts w:hint="eastAsia"/>
                      <w:color w:val="auto"/>
                    </w:rPr>
                    <w:t>年平均质量浓度</w:t>
                  </w:r>
                </w:p>
              </w:tc>
              <w:tc>
                <w:tcPr>
                  <w:tcW w:w="76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eastAsia="宋体"/>
                      <w:color w:val="auto"/>
                      <w:lang w:val="en-US" w:eastAsia="zh-CN"/>
                    </w:rPr>
                  </w:pPr>
                  <w:r>
                    <w:rPr>
                      <w:rFonts w:hint="eastAsia" w:eastAsia="宋体"/>
                      <w:color w:val="auto"/>
                      <w:lang w:val="en-US" w:eastAsia="zh-CN"/>
                    </w:rPr>
                    <w:t>36</w:t>
                  </w:r>
                </w:p>
              </w:tc>
              <w:tc>
                <w:tcPr>
                  <w:tcW w:w="77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eastAsia="宋体"/>
                      <w:color w:val="auto"/>
                      <w:lang w:val="en-US" w:eastAsia="zh-CN"/>
                    </w:rPr>
                  </w:pPr>
                  <w:r>
                    <w:rPr>
                      <w:rFonts w:hint="default" w:eastAsia="宋体"/>
                      <w:color w:val="auto"/>
                      <w:lang w:val="en-US" w:eastAsia="zh-CN"/>
                    </w:rPr>
                    <w:t>35</w:t>
                  </w:r>
                </w:p>
              </w:tc>
              <w:tc>
                <w:tcPr>
                  <w:tcW w:w="57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eastAsia="宋体"/>
                      <w:color w:val="auto"/>
                      <w:lang w:val="en-US" w:eastAsia="zh-CN"/>
                    </w:rPr>
                  </w:pPr>
                  <w:r>
                    <w:rPr>
                      <w:rFonts w:hint="default" w:eastAsia="宋体"/>
                      <w:color w:val="auto"/>
                      <w:lang w:val="en-US" w:eastAsia="zh-CN"/>
                    </w:rPr>
                    <w:t>102.</w:t>
                  </w:r>
                  <w:r>
                    <w:rPr>
                      <w:rFonts w:hint="eastAsia"/>
                      <w:color w:val="auto"/>
                      <w:lang w:val="en-US" w:eastAsia="zh-CN"/>
                    </w:rPr>
                    <w:t>9</w:t>
                  </w:r>
                  <w:r>
                    <w:rPr>
                      <w:rFonts w:hint="default" w:eastAsia="宋体"/>
                      <w:color w:val="auto"/>
                      <w:lang w:val="en-US" w:eastAsia="zh-CN"/>
                    </w:rPr>
                    <w:t xml:space="preserve"> </w:t>
                  </w:r>
                </w:p>
              </w:tc>
              <w:tc>
                <w:tcPr>
                  <w:tcW w:w="691" w:type="pct"/>
                  <w:tcBorders>
                    <w:top w:val="single" w:color="000000" w:sz="4" w:space="0"/>
                    <w:left w:val="single" w:color="000000" w:sz="4" w:space="0"/>
                    <w:bottom w:val="single" w:color="000000" w:sz="4" w:space="0"/>
                    <w:right w:val="nil"/>
                  </w:tcBorders>
                  <w:vAlign w:val="center"/>
                </w:tcPr>
                <w:p>
                  <w:pPr>
                    <w:adjustRightInd w:val="0"/>
                    <w:snapToGrid w:val="0"/>
                    <w:jc w:val="center"/>
                    <w:rPr>
                      <w:rFonts w:hint="default" w:eastAsia="宋体"/>
                      <w:color w:val="auto"/>
                      <w:lang w:val="en-US" w:eastAsia="zh-CN"/>
                    </w:rPr>
                  </w:pPr>
                  <w:r>
                    <w:rPr>
                      <w:rFonts w:hint="eastAsia" w:eastAsia="宋体"/>
                      <w:color w:val="auto"/>
                      <w:lang w:val="en-US" w:eastAsia="zh-CN"/>
                    </w:rPr>
                    <w:t>超标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16" w:type="pct"/>
                  <w:tcBorders>
                    <w:top w:val="single" w:color="000000" w:sz="4" w:space="0"/>
                    <w:left w:val="nil"/>
                    <w:bottom w:val="single" w:color="000000" w:sz="4" w:space="0"/>
                    <w:right w:val="single" w:color="000000" w:sz="4" w:space="0"/>
                  </w:tcBorders>
                  <w:vAlign w:val="center"/>
                </w:tcPr>
                <w:p>
                  <w:pPr>
                    <w:adjustRightInd w:val="0"/>
                    <w:snapToGrid w:val="0"/>
                    <w:jc w:val="center"/>
                    <w:rPr>
                      <w:color w:val="auto"/>
                    </w:rPr>
                  </w:pPr>
                  <w:r>
                    <w:rPr>
                      <w:color w:val="auto"/>
                    </w:rPr>
                    <w:t>SO</w:t>
                  </w:r>
                  <w:r>
                    <w:rPr>
                      <w:color w:val="auto"/>
                      <w:vertAlign w:val="subscript"/>
                    </w:rPr>
                    <w:t>2</w:t>
                  </w:r>
                </w:p>
              </w:tc>
              <w:tc>
                <w:tcPr>
                  <w:tcW w:w="168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rFonts w:hint="eastAsia"/>
                      <w:color w:val="auto"/>
                    </w:rPr>
                    <w:t>年平均质量浓度</w:t>
                  </w:r>
                </w:p>
              </w:tc>
              <w:tc>
                <w:tcPr>
                  <w:tcW w:w="76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eastAsia="宋体"/>
                      <w:color w:val="auto"/>
                      <w:lang w:val="en-US" w:eastAsia="zh-CN"/>
                    </w:rPr>
                  </w:pPr>
                  <w:r>
                    <w:rPr>
                      <w:rFonts w:hint="eastAsia" w:eastAsia="宋体"/>
                      <w:color w:val="auto"/>
                      <w:lang w:val="en-US" w:eastAsia="zh-CN"/>
                    </w:rPr>
                    <w:t>1</w:t>
                  </w:r>
                  <w:r>
                    <w:rPr>
                      <w:rFonts w:hint="eastAsia"/>
                      <w:color w:val="auto"/>
                      <w:lang w:val="en-US" w:eastAsia="zh-CN"/>
                    </w:rPr>
                    <w:t>3</w:t>
                  </w:r>
                </w:p>
              </w:tc>
              <w:tc>
                <w:tcPr>
                  <w:tcW w:w="77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eastAsia="宋体"/>
                      <w:color w:val="auto"/>
                      <w:lang w:val="en-US" w:eastAsia="zh-CN"/>
                    </w:rPr>
                  </w:pPr>
                  <w:r>
                    <w:rPr>
                      <w:rFonts w:hint="default" w:eastAsia="宋体"/>
                      <w:color w:val="auto"/>
                      <w:lang w:val="en-US" w:eastAsia="zh-CN"/>
                    </w:rPr>
                    <w:t>60</w:t>
                  </w:r>
                </w:p>
              </w:tc>
              <w:tc>
                <w:tcPr>
                  <w:tcW w:w="57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eastAsia="宋体"/>
                      <w:color w:val="auto"/>
                      <w:lang w:val="en-US" w:eastAsia="zh-CN"/>
                    </w:rPr>
                  </w:pPr>
                  <w:r>
                    <w:rPr>
                      <w:rFonts w:hint="eastAsia"/>
                      <w:color w:val="auto"/>
                      <w:lang w:val="en-US" w:eastAsia="zh-CN"/>
                    </w:rPr>
                    <w:t>21.7</w:t>
                  </w:r>
                </w:p>
              </w:tc>
              <w:tc>
                <w:tcPr>
                  <w:tcW w:w="691" w:type="pct"/>
                  <w:tcBorders>
                    <w:top w:val="single" w:color="000000" w:sz="4" w:space="0"/>
                    <w:left w:val="single" w:color="000000" w:sz="4" w:space="0"/>
                    <w:bottom w:val="single" w:color="000000" w:sz="4" w:space="0"/>
                    <w:right w:val="nil"/>
                  </w:tcBorders>
                  <w:vAlign w:val="center"/>
                </w:tcPr>
                <w:p>
                  <w:pPr>
                    <w:adjustRightInd w:val="0"/>
                    <w:snapToGrid w:val="0"/>
                    <w:jc w:val="center"/>
                    <w:rPr>
                      <w:rFonts w:hint="default" w:eastAsia="宋体"/>
                      <w:color w:val="auto"/>
                      <w:lang w:val="en-US" w:eastAsia="zh-CN"/>
                    </w:rPr>
                  </w:pPr>
                  <w:r>
                    <w:rPr>
                      <w:rFonts w:hint="eastAsia" w:eastAsia="宋体"/>
                      <w:color w:val="auto"/>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16" w:type="pct"/>
                  <w:tcBorders>
                    <w:top w:val="single" w:color="000000" w:sz="4" w:space="0"/>
                    <w:left w:val="nil"/>
                    <w:bottom w:val="single" w:color="000000" w:sz="4" w:space="0"/>
                    <w:right w:val="single" w:color="000000" w:sz="4" w:space="0"/>
                  </w:tcBorders>
                  <w:vAlign w:val="center"/>
                </w:tcPr>
                <w:p>
                  <w:pPr>
                    <w:adjustRightInd w:val="0"/>
                    <w:snapToGrid w:val="0"/>
                    <w:jc w:val="center"/>
                    <w:rPr>
                      <w:color w:val="auto"/>
                    </w:rPr>
                  </w:pPr>
                  <w:r>
                    <w:rPr>
                      <w:color w:val="auto"/>
                    </w:rPr>
                    <w:t>NO</w:t>
                  </w:r>
                  <w:r>
                    <w:rPr>
                      <w:color w:val="auto"/>
                      <w:vertAlign w:val="subscript"/>
                    </w:rPr>
                    <w:t>2</w:t>
                  </w:r>
                </w:p>
              </w:tc>
              <w:tc>
                <w:tcPr>
                  <w:tcW w:w="168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rFonts w:hint="eastAsia"/>
                      <w:color w:val="auto"/>
                    </w:rPr>
                    <w:t>年平均质量浓度</w:t>
                  </w:r>
                </w:p>
              </w:tc>
              <w:tc>
                <w:tcPr>
                  <w:tcW w:w="76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eastAsia" w:eastAsia="宋体"/>
                      <w:color w:val="auto"/>
                      <w:lang w:val="en-US" w:eastAsia="zh-CN"/>
                    </w:rPr>
                  </w:pPr>
                  <w:r>
                    <w:rPr>
                      <w:rFonts w:hint="default" w:eastAsia="宋体"/>
                      <w:color w:val="auto"/>
                      <w:lang w:val="en-US" w:eastAsia="zh-CN"/>
                    </w:rPr>
                    <w:t>2</w:t>
                  </w:r>
                  <w:r>
                    <w:rPr>
                      <w:rFonts w:hint="eastAsia"/>
                      <w:color w:val="auto"/>
                      <w:lang w:val="en-US" w:eastAsia="zh-CN"/>
                    </w:rPr>
                    <w:t>5</w:t>
                  </w:r>
                </w:p>
              </w:tc>
              <w:tc>
                <w:tcPr>
                  <w:tcW w:w="77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eastAsia="宋体"/>
                      <w:color w:val="auto"/>
                      <w:lang w:val="en-US" w:eastAsia="zh-CN"/>
                    </w:rPr>
                  </w:pPr>
                  <w:r>
                    <w:rPr>
                      <w:rFonts w:hint="default" w:eastAsia="宋体"/>
                      <w:color w:val="auto"/>
                      <w:lang w:val="en-US" w:eastAsia="zh-CN"/>
                    </w:rPr>
                    <w:t>40</w:t>
                  </w:r>
                </w:p>
              </w:tc>
              <w:tc>
                <w:tcPr>
                  <w:tcW w:w="57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eastAsia="宋体"/>
                      <w:color w:val="auto"/>
                      <w:lang w:val="en-US" w:eastAsia="zh-CN"/>
                    </w:rPr>
                  </w:pPr>
                  <w:r>
                    <w:rPr>
                      <w:rFonts w:hint="default" w:eastAsia="宋体"/>
                      <w:color w:val="auto"/>
                      <w:lang w:val="en-US" w:eastAsia="zh-CN"/>
                    </w:rPr>
                    <w:t>6</w:t>
                  </w:r>
                  <w:r>
                    <w:rPr>
                      <w:rFonts w:hint="eastAsia"/>
                      <w:color w:val="auto"/>
                      <w:lang w:val="en-US" w:eastAsia="zh-CN"/>
                    </w:rPr>
                    <w:t>2.5</w:t>
                  </w:r>
                </w:p>
              </w:tc>
              <w:tc>
                <w:tcPr>
                  <w:tcW w:w="691" w:type="pct"/>
                  <w:tcBorders>
                    <w:top w:val="single" w:color="000000" w:sz="4" w:space="0"/>
                    <w:left w:val="single" w:color="000000" w:sz="4" w:space="0"/>
                    <w:bottom w:val="single" w:color="000000" w:sz="4" w:space="0"/>
                    <w:right w:val="nil"/>
                  </w:tcBorders>
                  <w:vAlign w:val="center"/>
                </w:tcPr>
                <w:p>
                  <w:pPr>
                    <w:adjustRightInd w:val="0"/>
                    <w:snapToGrid w:val="0"/>
                    <w:jc w:val="center"/>
                    <w:rPr>
                      <w:rFonts w:hint="default" w:eastAsia="宋体"/>
                      <w:color w:val="auto"/>
                      <w:lang w:val="en-US" w:eastAsia="zh-CN"/>
                    </w:rPr>
                  </w:pPr>
                  <w:r>
                    <w:rPr>
                      <w:rFonts w:hint="eastAsia" w:eastAsia="宋体"/>
                      <w:color w:val="auto"/>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16" w:type="pct"/>
                  <w:tcBorders>
                    <w:top w:val="single" w:color="000000" w:sz="4" w:space="0"/>
                    <w:left w:val="nil"/>
                    <w:bottom w:val="single" w:color="000000" w:sz="4" w:space="0"/>
                    <w:right w:val="single" w:color="000000" w:sz="4" w:space="0"/>
                  </w:tcBorders>
                  <w:vAlign w:val="center"/>
                </w:tcPr>
                <w:p>
                  <w:pPr>
                    <w:adjustRightInd w:val="0"/>
                    <w:snapToGrid w:val="0"/>
                    <w:jc w:val="center"/>
                    <w:rPr>
                      <w:color w:val="auto"/>
                    </w:rPr>
                  </w:pPr>
                  <w:r>
                    <w:rPr>
                      <w:color w:val="auto"/>
                    </w:rPr>
                    <w:t>CO</w:t>
                  </w:r>
                </w:p>
              </w:tc>
              <w:tc>
                <w:tcPr>
                  <w:tcW w:w="168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color w:val="auto"/>
                    </w:rPr>
                    <w:t>24</w:t>
                  </w:r>
                  <w:r>
                    <w:rPr>
                      <w:rFonts w:hint="eastAsia"/>
                      <w:color w:val="auto"/>
                    </w:rPr>
                    <w:t>小时平均第</w:t>
                  </w:r>
                  <w:r>
                    <w:rPr>
                      <w:color w:val="auto"/>
                    </w:rPr>
                    <w:t>95</w:t>
                  </w:r>
                  <w:r>
                    <w:rPr>
                      <w:rFonts w:hint="eastAsia"/>
                      <w:color w:val="auto"/>
                    </w:rPr>
                    <w:t>百分数（</w:t>
                  </w:r>
                  <w:r>
                    <w:rPr>
                      <w:color w:val="auto"/>
                    </w:rPr>
                    <w:t>mg/m</w:t>
                  </w:r>
                  <w:r>
                    <w:rPr>
                      <w:color w:val="auto"/>
                      <w:vertAlign w:val="superscript"/>
                    </w:rPr>
                    <w:t>3</w:t>
                  </w:r>
                  <w:r>
                    <w:rPr>
                      <w:rFonts w:hint="eastAsia"/>
                      <w:color w:val="auto"/>
                    </w:rPr>
                    <w:t>）</w:t>
                  </w:r>
                </w:p>
              </w:tc>
              <w:tc>
                <w:tcPr>
                  <w:tcW w:w="76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eastAsia="宋体"/>
                      <w:color w:val="auto"/>
                      <w:lang w:val="en-US" w:eastAsia="zh-CN"/>
                    </w:rPr>
                  </w:pPr>
                  <w:r>
                    <w:rPr>
                      <w:rFonts w:hint="default" w:eastAsia="宋体"/>
                      <w:color w:val="auto"/>
                      <w:lang w:val="en-US" w:eastAsia="zh-CN"/>
                    </w:rPr>
                    <w:t>1</w:t>
                  </w:r>
                  <w:r>
                    <w:rPr>
                      <w:rFonts w:hint="eastAsia" w:eastAsia="宋体"/>
                      <w:color w:val="auto"/>
                      <w:lang w:val="en-US" w:eastAsia="zh-CN"/>
                    </w:rPr>
                    <w:t>.</w:t>
                  </w:r>
                  <w:r>
                    <w:rPr>
                      <w:rFonts w:hint="eastAsia"/>
                      <w:color w:val="auto"/>
                      <w:lang w:val="en-US" w:eastAsia="zh-CN"/>
                    </w:rPr>
                    <w:t>0</w:t>
                  </w:r>
                </w:p>
              </w:tc>
              <w:tc>
                <w:tcPr>
                  <w:tcW w:w="77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eastAsia="宋体"/>
                      <w:color w:val="auto"/>
                      <w:lang w:val="en-US" w:eastAsia="zh-CN"/>
                    </w:rPr>
                  </w:pPr>
                  <w:r>
                    <w:rPr>
                      <w:rFonts w:hint="default" w:eastAsia="宋体"/>
                      <w:color w:val="auto"/>
                      <w:lang w:val="en-US" w:eastAsia="zh-CN"/>
                    </w:rPr>
                    <w:t>4</w:t>
                  </w:r>
                </w:p>
              </w:tc>
              <w:tc>
                <w:tcPr>
                  <w:tcW w:w="57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eastAsia="宋体"/>
                      <w:color w:val="auto"/>
                      <w:lang w:val="en-US" w:eastAsia="zh-CN"/>
                    </w:rPr>
                  </w:pPr>
                  <w:r>
                    <w:rPr>
                      <w:rFonts w:hint="default" w:eastAsia="宋体"/>
                      <w:color w:val="auto"/>
                      <w:lang w:val="en-US" w:eastAsia="zh-CN"/>
                    </w:rPr>
                    <w:t>2</w:t>
                  </w:r>
                  <w:r>
                    <w:rPr>
                      <w:rFonts w:hint="eastAsia"/>
                      <w:color w:val="auto"/>
                      <w:lang w:val="en-US" w:eastAsia="zh-CN"/>
                    </w:rPr>
                    <w:t>5.</w:t>
                  </w:r>
                  <w:r>
                    <w:rPr>
                      <w:rFonts w:hint="default" w:eastAsia="宋体"/>
                      <w:color w:val="auto"/>
                      <w:lang w:val="en-US" w:eastAsia="zh-CN"/>
                    </w:rPr>
                    <w:t xml:space="preserve">0 </w:t>
                  </w:r>
                </w:p>
              </w:tc>
              <w:tc>
                <w:tcPr>
                  <w:tcW w:w="691" w:type="pct"/>
                  <w:tcBorders>
                    <w:top w:val="single" w:color="000000" w:sz="4" w:space="0"/>
                    <w:left w:val="single" w:color="000000" w:sz="4" w:space="0"/>
                    <w:bottom w:val="single" w:color="000000" w:sz="4" w:space="0"/>
                    <w:right w:val="nil"/>
                  </w:tcBorders>
                  <w:vAlign w:val="center"/>
                </w:tcPr>
                <w:p>
                  <w:pPr>
                    <w:adjustRightInd w:val="0"/>
                    <w:snapToGrid w:val="0"/>
                    <w:jc w:val="center"/>
                    <w:rPr>
                      <w:rFonts w:hint="default" w:eastAsia="宋体"/>
                      <w:color w:val="auto"/>
                      <w:lang w:val="en-US" w:eastAsia="zh-CN"/>
                    </w:rPr>
                  </w:pPr>
                  <w:r>
                    <w:rPr>
                      <w:rFonts w:hint="eastAsia" w:eastAsia="宋体"/>
                      <w:color w:val="auto"/>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16" w:type="pct"/>
                  <w:tcBorders>
                    <w:top w:val="single" w:color="000000" w:sz="4" w:space="0"/>
                    <w:left w:val="nil"/>
                    <w:bottom w:val="single" w:color="000000" w:sz="4" w:space="0"/>
                    <w:right w:val="single" w:color="000000" w:sz="4" w:space="0"/>
                  </w:tcBorders>
                  <w:vAlign w:val="center"/>
                </w:tcPr>
                <w:p>
                  <w:pPr>
                    <w:adjustRightInd w:val="0"/>
                    <w:snapToGrid w:val="0"/>
                    <w:jc w:val="center"/>
                    <w:rPr>
                      <w:rFonts w:hint="eastAsia" w:eastAsia="宋体"/>
                      <w:color w:val="auto"/>
                      <w:lang w:val="en-US" w:eastAsia="zh-CN"/>
                    </w:rPr>
                  </w:pPr>
                  <w:r>
                    <w:rPr>
                      <w:color w:val="auto"/>
                    </w:rPr>
                    <w:t>O</w:t>
                  </w:r>
                  <w:r>
                    <w:rPr>
                      <w:rFonts w:hint="eastAsia"/>
                      <w:color w:val="auto"/>
                      <w:vertAlign w:val="subscript"/>
                      <w:lang w:val="en-US" w:eastAsia="zh-CN"/>
                    </w:rPr>
                    <w:t>3</w:t>
                  </w:r>
                </w:p>
              </w:tc>
              <w:tc>
                <w:tcPr>
                  <w:tcW w:w="168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rFonts w:hint="eastAsia"/>
                      <w:color w:val="auto"/>
                    </w:rPr>
                    <w:t>日最大</w:t>
                  </w:r>
                  <w:r>
                    <w:rPr>
                      <w:color w:val="auto"/>
                    </w:rPr>
                    <w:t>8</w:t>
                  </w:r>
                  <w:r>
                    <w:rPr>
                      <w:rFonts w:hint="eastAsia"/>
                      <w:color w:val="auto"/>
                    </w:rPr>
                    <w:t>小时滑动平均值的第</w:t>
                  </w:r>
                  <w:r>
                    <w:rPr>
                      <w:color w:val="auto"/>
                    </w:rPr>
                    <w:t>90</w:t>
                  </w:r>
                  <w:r>
                    <w:rPr>
                      <w:rFonts w:hint="eastAsia"/>
                      <w:color w:val="auto"/>
                    </w:rPr>
                    <w:t>百分数</w:t>
                  </w:r>
                </w:p>
              </w:tc>
              <w:tc>
                <w:tcPr>
                  <w:tcW w:w="76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eastAsia="宋体"/>
                      <w:color w:val="auto"/>
                      <w:lang w:val="en-US" w:eastAsia="zh-CN"/>
                    </w:rPr>
                  </w:pPr>
                  <w:r>
                    <w:rPr>
                      <w:rFonts w:hint="default" w:eastAsia="宋体"/>
                      <w:color w:val="auto"/>
                      <w:lang w:val="en-US" w:eastAsia="zh-CN"/>
                    </w:rPr>
                    <w:t>1</w:t>
                  </w:r>
                  <w:r>
                    <w:rPr>
                      <w:rFonts w:hint="eastAsia" w:eastAsia="宋体"/>
                      <w:color w:val="auto"/>
                      <w:lang w:val="en-US" w:eastAsia="zh-CN"/>
                    </w:rPr>
                    <w:t>3</w:t>
                  </w:r>
                  <w:r>
                    <w:rPr>
                      <w:rFonts w:hint="eastAsia"/>
                      <w:color w:val="auto"/>
                      <w:lang w:val="en-US" w:eastAsia="zh-CN"/>
                    </w:rPr>
                    <w:t>4</w:t>
                  </w:r>
                </w:p>
              </w:tc>
              <w:tc>
                <w:tcPr>
                  <w:tcW w:w="77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eastAsia="宋体"/>
                      <w:color w:val="auto"/>
                      <w:lang w:val="en-US" w:eastAsia="zh-CN"/>
                    </w:rPr>
                  </w:pPr>
                  <w:r>
                    <w:rPr>
                      <w:rFonts w:hint="default" w:eastAsia="宋体"/>
                      <w:color w:val="auto"/>
                      <w:lang w:val="en-US" w:eastAsia="zh-CN"/>
                    </w:rPr>
                    <w:t>160</w:t>
                  </w:r>
                </w:p>
              </w:tc>
              <w:tc>
                <w:tcPr>
                  <w:tcW w:w="57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eastAsia="宋体"/>
                      <w:color w:val="auto"/>
                      <w:lang w:val="en-US" w:eastAsia="zh-CN"/>
                    </w:rPr>
                  </w:pPr>
                  <w:r>
                    <w:rPr>
                      <w:rFonts w:hint="default" w:eastAsia="宋体"/>
                      <w:color w:val="auto"/>
                      <w:lang w:val="en-US" w:eastAsia="zh-CN"/>
                    </w:rPr>
                    <w:t>8</w:t>
                  </w:r>
                  <w:r>
                    <w:rPr>
                      <w:rFonts w:hint="eastAsia"/>
                      <w:color w:val="auto"/>
                      <w:lang w:val="en-US" w:eastAsia="zh-CN"/>
                    </w:rPr>
                    <w:t>3.8</w:t>
                  </w:r>
                </w:p>
              </w:tc>
              <w:tc>
                <w:tcPr>
                  <w:tcW w:w="691" w:type="pct"/>
                  <w:tcBorders>
                    <w:top w:val="single" w:color="000000" w:sz="4" w:space="0"/>
                    <w:left w:val="single" w:color="000000" w:sz="4" w:space="0"/>
                    <w:bottom w:val="single" w:color="000000" w:sz="4" w:space="0"/>
                    <w:right w:val="nil"/>
                  </w:tcBorders>
                  <w:vAlign w:val="center"/>
                </w:tcPr>
                <w:p>
                  <w:pPr>
                    <w:adjustRightInd w:val="0"/>
                    <w:snapToGrid w:val="0"/>
                    <w:jc w:val="center"/>
                    <w:rPr>
                      <w:rFonts w:hint="default" w:eastAsia="宋体"/>
                      <w:color w:val="auto"/>
                      <w:lang w:val="en-US" w:eastAsia="zh-CN"/>
                    </w:rPr>
                  </w:pPr>
                  <w:r>
                    <w:rPr>
                      <w:rFonts w:hint="eastAsia" w:eastAsia="宋体"/>
                      <w:color w:val="auto"/>
                      <w:lang w:val="en-US" w:eastAsia="zh-CN"/>
                    </w:rPr>
                    <w:t>达标</w:t>
                  </w:r>
                </w:p>
              </w:tc>
            </w:tr>
          </w:tbl>
          <w:p>
            <w:pPr>
              <w:ind w:firstLine="512" w:firstLineChars="200"/>
              <w:jc w:val="left"/>
              <w:rPr>
                <w:rFonts w:hint="eastAsia" w:eastAsia="宋体"/>
                <w:color w:val="auto"/>
                <w:sz w:val="24"/>
                <w:szCs w:val="24"/>
                <w:lang w:eastAsia="zh-CN"/>
              </w:rPr>
            </w:pPr>
            <w:r>
              <w:rPr>
                <w:rFonts w:hint="default" w:ascii="Times New Roman" w:hAnsi="Times New Roman" w:cs="Times New Roman"/>
                <w:color w:val="auto"/>
                <w:sz w:val="24"/>
                <w:szCs w:val="24"/>
              </w:rPr>
              <w:t>根据上表的监测数据，2020年中卫市未剔除沙尘天气影响，PM</w:t>
            </w:r>
            <w:r>
              <w:rPr>
                <w:rFonts w:hint="default" w:ascii="Times New Roman" w:hAnsi="Times New Roman" w:cs="Times New Roman"/>
                <w:color w:val="auto"/>
                <w:sz w:val="24"/>
                <w:szCs w:val="24"/>
                <w:vertAlign w:val="subscript"/>
              </w:rPr>
              <w:t>10</w:t>
            </w:r>
            <w:r>
              <w:rPr>
                <w:rFonts w:hint="default" w:ascii="Times New Roman" w:hAnsi="Times New Roman" w:cs="Times New Roman"/>
                <w:color w:val="auto"/>
                <w:sz w:val="24"/>
                <w:szCs w:val="24"/>
              </w:rPr>
              <w:t>、PM</w:t>
            </w:r>
            <w:r>
              <w:rPr>
                <w:rFonts w:hint="default" w:ascii="Times New Roman" w:hAnsi="Times New Roman" w:cs="Times New Roman"/>
                <w:color w:val="auto"/>
                <w:sz w:val="24"/>
                <w:szCs w:val="24"/>
                <w:vertAlign w:val="subscript"/>
              </w:rPr>
              <w:t>2.5</w:t>
            </w:r>
            <w:r>
              <w:rPr>
                <w:rFonts w:hint="default" w:ascii="Times New Roman" w:hAnsi="Times New Roman" w:cs="Times New Roman"/>
                <w:color w:val="auto"/>
                <w:sz w:val="24"/>
                <w:szCs w:val="24"/>
              </w:rPr>
              <w:t>年均浓度超过《环境空气质量标准》(GB3095-20</w:t>
            </w:r>
            <w:r>
              <w:rPr>
                <w:rFonts w:hint="eastAsia" w:cs="Times New Roman"/>
                <w:color w:val="auto"/>
                <w:sz w:val="24"/>
                <w:szCs w:val="24"/>
                <w:lang w:val="en-US" w:eastAsia="zh-CN"/>
              </w:rPr>
              <w:t>12</w:t>
            </w:r>
            <w:r>
              <w:rPr>
                <w:rFonts w:hint="default" w:ascii="Times New Roman" w:hAnsi="Times New Roman" w:cs="Times New Roman"/>
                <w:color w:val="auto"/>
                <w:sz w:val="24"/>
                <w:szCs w:val="24"/>
              </w:rPr>
              <w:t>)中二级标准限值(PM</w:t>
            </w:r>
            <w:r>
              <w:rPr>
                <w:rFonts w:hint="default" w:ascii="Times New Roman" w:hAnsi="Times New Roman" w:cs="Times New Roman"/>
                <w:color w:val="auto"/>
                <w:sz w:val="24"/>
                <w:szCs w:val="24"/>
                <w:vertAlign w:val="subscript"/>
              </w:rPr>
              <w:t>10</w:t>
            </w:r>
            <w:r>
              <w:rPr>
                <w:rFonts w:hint="default" w:ascii="Times New Roman" w:hAnsi="Times New Roman" w:cs="Times New Roman"/>
                <w:color w:val="auto"/>
                <w:sz w:val="24"/>
                <w:szCs w:val="24"/>
              </w:rPr>
              <w:t>年均浓度为70μg/m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，PM</w:t>
            </w:r>
            <w:r>
              <w:rPr>
                <w:rFonts w:hint="default" w:ascii="Times New Roman" w:hAnsi="Times New Roman" w:cs="Times New Roman"/>
                <w:color w:val="auto"/>
                <w:sz w:val="24"/>
                <w:szCs w:val="24"/>
                <w:vertAlign w:val="subscript"/>
              </w:rPr>
              <w:t>2.5</w:t>
            </w:r>
            <w:r>
              <w:rPr>
                <w:rFonts w:hint="default" w:ascii="Times New Roman" w:hAnsi="Times New Roman" w:cs="Times New Roman"/>
                <w:color w:val="auto"/>
                <w:sz w:val="24"/>
                <w:szCs w:val="24"/>
              </w:rPr>
              <w:t>年均浓度为35μg/m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)，剔除沙尘天气后，PM</w:t>
            </w:r>
            <w:r>
              <w:rPr>
                <w:rFonts w:hint="default" w:ascii="Times New Roman" w:hAnsi="Times New Roman" w:cs="Times New Roman"/>
                <w:color w:val="auto"/>
                <w:sz w:val="24"/>
                <w:szCs w:val="24"/>
                <w:vertAlign w:val="subscript"/>
              </w:rPr>
              <w:t>10</w:t>
            </w:r>
            <w:r>
              <w:rPr>
                <w:rFonts w:hint="default" w:ascii="Times New Roman" w:hAnsi="Times New Roman" w:cs="Times New Roman"/>
                <w:color w:val="auto"/>
                <w:sz w:val="24"/>
                <w:szCs w:val="24"/>
              </w:rPr>
              <w:t>年均浓度为65μg/m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，PM</w:t>
            </w:r>
            <w:r>
              <w:rPr>
                <w:rFonts w:hint="default" w:ascii="Times New Roman" w:hAnsi="Times New Roman" w:cs="Times New Roman"/>
                <w:color w:val="auto"/>
                <w:sz w:val="24"/>
                <w:szCs w:val="24"/>
                <w:vertAlign w:val="subscript"/>
              </w:rPr>
              <w:t>2.5</w:t>
            </w:r>
            <w:r>
              <w:rPr>
                <w:rFonts w:hint="default" w:ascii="Times New Roman" w:hAnsi="Times New Roman" w:cs="Times New Roman"/>
                <w:color w:val="auto"/>
                <w:sz w:val="24"/>
                <w:szCs w:val="24"/>
              </w:rPr>
              <w:t>年均浓度为33μg/m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，PM</w:t>
            </w:r>
            <w:r>
              <w:rPr>
                <w:rFonts w:hint="default" w:ascii="Times New Roman" w:hAnsi="Times New Roman" w:cs="Times New Roman"/>
                <w:color w:val="auto"/>
                <w:sz w:val="24"/>
                <w:szCs w:val="24"/>
                <w:vertAlign w:val="subscript"/>
              </w:rPr>
              <w:t>10</w:t>
            </w:r>
            <w:r>
              <w:rPr>
                <w:rFonts w:hint="default" w:ascii="Times New Roman" w:hAnsi="Times New Roman" w:cs="Times New Roman"/>
                <w:color w:val="auto"/>
                <w:sz w:val="24"/>
                <w:szCs w:val="24"/>
              </w:rPr>
              <w:t>、PM</w:t>
            </w:r>
            <w:r>
              <w:rPr>
                <w:rFonts w:hint="default" w:ascii="Times New Roman" w:hAnsi="Times New Roman" w:cs="Times New Roman"/>
                <w:color w:val="auto"/>
                <w:sz w:val="24"/>
                <w:szCs w:val="24"/>
                <w:vertAlign w:val="subscript"/>
              </w:rPr>
              <w:t>2.5</w:t>
            </w:r>
            <w:r>
              <w:rPr>
                <w:rFonts w:hint="default" w:ascii="Times New Roman" w:hAnsi="Times New Roman" w:cs="Times New Roman"/>
                <w:color w:val="auto"/>
                <w:sz w:val="24"/>
                <w:szCs w:val="24"/>
              </w:rPr>
              <w:t>年均浓度值达标</w:t>
            </w:r>
            <w:r>
              <w:rPr>
                <w:rFonts w:hint="eastAsia" w:cs="Times New Roman"/>
                <w:color w:val="auto"/>
                <w:sz w:val="24"/>
                <w:szCs w:val="24"/>
                <w:lang w:eastAsia="zh-CN"/>
              </w:rPr>
              <w:t>。</w:t>
            </w:r>
          </w:p>
          <w:p>
            <w:pPr>
              <w:pStyle w:val="43"/>
              <w:ind w:left="0" w:leftChars="0" w:firstLine="0" w:firstLineChars="0"/>
              <w:rPr>
                <w:rFonts w:hint="default" w:ascii="Times New Roman" w:hAnsi="Times New Roman" w:eastAsia="黑体" w:cs="Times New Roman"/>
                <w:color w:val="auto"/>
              </w:rPr>
            </w:pPr>
            <w:r>
              <w:rPr>
                <w:rFonts w:hint="default" w:ascii="Times New Roman" w:hAnsi="Times New Roman" w:eastAsia="黑体" w:cs="Times New Roman"/>
                <w:color w:val="auto"/>
              </w:rPr>
              <w:t>2地表水环境质量现状</w:t>
            </w:r>
          </w:p>
          <w:p>
            <w:pPr>
              <w:ind w:firstLine="512" w:firstLineChars="200"/>
              <w:rPr>
                <w:rFonts w:hint="eastAsia"/>
                <w:color w:val="auto"/>
                <w:sz w:val="24"/>
                <w:szCs w:val="24"/>
                <w:lang w:val="en-US" w:eastAsia="zh-CN"/>
              </w:rPr>
            </w:pPr>
            <w:r>
              <w:rPr>
                <w:rFonts w:hint="eastAsia"/>
                <w:color w:val="auto"/>
                <w:sz w:val="24"/>
                <w:szCs w:val="24"/>
                <w:lang w:val="en-US" w:eastAsia="zh-CN"/>
              </w:rPr>
              <w:t>距离本项目最近的地表水体为项目厂界北侧6.2km处的黄河，水质目标为Ⅱ类。根据《2020年宁夏生态环境质量状况》中黄河（中卫下河沿断面）环境质量状况的结论可知，黄河（中卫下河沿断面）2020年全年水质监测结果中各监测因子均满足《地表水环境质量标准》（GB3838-2002）中Ⅱ类标准要求。</w:t>
            </w:r>
          </w:p>
          <w:p>
            <w:pPr>
              <w:rPr>
                <w:rFonts w:hint="default" w:ascii="Times New Roman" w:hAnsi="Times New Roman" w:eastAsia="黑体" w:cs="Times New Roman"/>
                <w:color w:val="auto"/>
                <w:sz w:val="24"/>
                <w:szCs w:val="32"/>
              </w:rPr>
            </w:pPr>
            <w:r>
              <w:rPr>
                <w:rFonts w:hint="default" w:ascii="Times New Roman" w:hAnsi="Times New Roman" w:eastAsia="黑体" w:cs="Times New Roman"/>
                <w:color w:val="auto"/>
                <w:sz w:val="24"/>
                <w:szCs w:val="32"/>
              </w:rPr>
              <w:t>3声环境质量现状</w:t>
            </w:r>
          </w:p>
          <w:p>
            <w:pPr>
              <w:pStyle w:val="43"/>
              <w:ind w:firstLine="514"/>
              <w:rPr>
                <w:color w:val="auto"/>
              </w:rPr>
            </w:pPr>
            <w:r>
              <w:rPr>
                <w:rFonts w:hint="eastAsia"/>
                <w:color w:val="auto"/>
              </w:rPr>
              <w:t>依据《建设项目环境影响报告表编制技术指南（污染影响类）》（试行），建设项目厂界</w:t>
            </w:r>
            <w:r>
              <w:rPr>
                <w:color w:val="auto"/>
              </w:rPr>
              <w:t>50m</w:t>
            </w:r>
            <w:r>
              <w:rPr>
                <w:rFonts w:hint="eastAsia"/>
                <w:color w:val="auto"/>
              </w:rPr>
              <w:t>范围内无环境保护目标，故不开展声环境质量现状评价。</w:t>
            </w:r>
          </w:p>
          <w:p>
            <w:pPr>
              <w:rPr>
                <w:rFonts w:hint="default" w:ascii="Times New Roman" w:hAnsi="Times New Roman" w:eastAsia="黑体" w:cs="Times New Roman"/>
                <w:color w:val="auto"/>
                <w:sz w:val="24"/>
                <w:szCs w:val="32"/>
              </w:rPr>
            </w:pPr>
            <w:r>
              <w:rPr>
                <w:rFonts w:hint="default" w:ascii="Times New Roman" w:hAnsi="Times New Roman" w:eastAsia="黑体" w:cs="Times New Roman"/>
                <w:color w:val="auto"/>
                <w:sz w:val="24"/>
                <w:szCs w:val="32"/>
              </w:rPr>
              <w:t>4生态环境状况</w:t>
            </w:r>
          </w:p>
          <w:p>
            <w:pPr>
              <w:pStyle w:val="43"/>
              <w:ind w:firstLine="514"/>
              <w:rPr>
                <w:rFonts w:hint="eastAsia"/>
                <w:color w:val="auto"/>
              </w:rPr>
            </w:pPr>
            <w:r>
              <w:rPr>
                <w:rFonts w:hint="eastAsia"/>
                <w:color w:val="auto"/>
              </w:rPr>
              <w:t>依据《建设项目环境影响报告表编制技术指南（污染影响类）》（试行），本项目属于工业类扩建项目</w:t>
            </w:r>
            <w:r>
              <w:rPr>
                <w:rFonts w:hint="eastAsia"/>
                <w:color w:val="auto"/>
                <w:lang w:eastAsia="zh-CN"/>
              </w:rPr>
              <w:t>，</w:t>
            </w:r>
            <w:r>
              <w:rPr>
                <w:rFonts w:hint="eastAsia"/>
                <w:color w:val="auto"/>
              </w:rPr>
              <w:t>位于原厂界范围内，不属于新增用地，原有厂区范围内无生态环境保护目标，因此不做生态现状调查。</w:t>
            </w:r>
          </w:p>
          <w:p>
            <w:pPr>
              <w:rPr>
                <w:rFonts w:hint="eastAsia" w:ascii="Times New Roman" w:hAnsi="Times New Roman" w:eastAsia="黑体" w:cs="Times New Roman"/>
                <w:color w:val="auto"/>
                <w:sz w:val="24"/>
                <w:szCs w:val="32"/>
                <w:lang w:val="en-US" w:eastAsia="zh-CN"/>
              </w:rPr>
            </w:pPr>
            <w:r>
              <w:rPr>
                <w:rFonts w:hint="eastAsia" w:ascii="Times New Roman" w:hAnsi="Times New Roman" w:eastAsia="黑体" w:cs="Times New Roman"/>
                <w:color w:val="auto"/>
                <w:sz w:val="24"/>
                <w:szCs w:val="32"/>
                <w:lang w:val="en-US" w:eastAsia="zh-CN"/>
              </w:rPr>
              <w:t>5</w:t>
            </w:r>
            <w:r>
              <w:rPr>
                <w:rFonts w:hint="eastAsia" w:eastAsia="黑体" w:cs="Times New Roman"/>
                <w:color w:val="auto"/>
                <w:sz w:val="24"/>
                <w:szCs w:val="32"/>
                <w:lang w:val="en-US" w:eastAsia="zh-CN"/>
              </w:rPr>
              <w:t xml:space="preserve"> </w:t>
            </w:r>
            <w:r>
              <w:rPr>
                <w:rFonts w:hint="eastAsia" w:ascii="Times New Roman" w:hAnsi="Times New Roman" w:eastAsia="黑体" w:cs="Times New Roman"/>
                <w:color w:val="auto"/>
                <w:sz w:val="24"/>
                <w:szCs w:val="32"/>
                <w:lang w:val="en-US" w:eastAsia="zh-CN"/>
              </w:rPr>
              <w:t>地下水</w:t>
            </w:r>
          </w:p>
          <w:p>
            <w:pPr>
              <w:tabs>
                <w:tab w:val="left" w:pos="686"/>
              </w:tabs>
              <w:rPr>
                <w:rFonts w:hint="default" w:ascii="Times New Roman" w:hAnsi="Times New Roman" w:eastAsia="宋体" w:cs="Times New Roman"/>
                <w:color w:val="auto"/>
                <w:sz w:val="24"/>
                <w:szCs w:val="32"/>
                <w:lang w:val="en-US" w:eastAsia="zh-CN"/>
              </w:rPr>
            </w:pPr>
            <w:r>
              <w:rPr>
                <w:rFonts w:hint="eastAsia" w:eastAsia="黑体" w:cs="Times New Roman"/>
                <w:color w:val="auto"/>
                <w:sz w:val="24"/>
                <w:szCs w:val="32"/>
                <w:lang w:val="en-US" w:eastAsia="zh-CN"/>
              </w:rPr>
              <w:tab/>
            </w:r>
            <w:r>
              <w:rPr>
                <w:rFonts w:hint="eastAsia"/>
                <w:color w:val="auto"/>
                <w:sz w:val="24"/>
                <w:szCs w:val="24"/>
              </w:rPr>
              <w:t>根据《建设项目环境影响报告表编制技术指南（污染影响类）（试行）》</w:t>
            </w:r>
            <w:r>
              <w:rPr>
                <w:rFonts w:hint="eastAsia"/>
                <w:color w:val="auto"/>
                <w:sz w:val="24"/>
                <w:szCs w:val="24"/>
                <w:lang w:eastAsia="zh-CN"/>
              </w:rPr>
              <w:t>，</w:t>
            </w:r>
            <w:r>
              <w:rPr>
                <w:rFonts w:hint="eastAsia"/>
                <w:color w:val="auto"/>
                <w:sz w:val="24"/>
                <w:szCs w:val="24"/>
                <w:lang w:val="en-US" w:eastAsia="zh-CN"/>
              </w:rPr>
              <w:t>项目存在地下水污染途径的，应结合污染源、保护目标分布情况开展现状调查以留作背景值。</w:t>
            </w:r>
          </w:p>
          <w:p>
            <w:pPr>
              <w:pStyle w:val="32"/>
              <w:keepNext w:val="0"/>
              <w:keepLines w:val="0"/>
              <w:pageBreakBefore w:val="0"/>
              <w:widowControl w:val="0"/>
              <w:kinsoku/>
              <w:wordWrap/>
              <w:overflowPunct/>
              <w:topLinePunct w:val="0"/>
              <w:autoSpaceDE/>
              <w:autoSpaceDN/>
              <w:bidi w:val="0"/>
              <w:adjustRightInd/>
              <w:snapToGrid/>
              <w:ind w:firstLine="512" w:firstLineChars="200"/>
              <w:jc w:val="both"/>
              <w:textAlignment w:val="auto"/>
              <w:rPr>
                <w:rFonts w:hint="default" w:ascii="Times New Roman" w:hAnsi="Times New Roman" w:eastAsia="宋体" w:cs="Times New Roman"/>
                <w:color w:val="auto"/>
                <w:sz w:val="24"/>
                <w:szCs w:val="32"/>
                <w:lang w:val="en-US" w:eastAsia="zh-CN"/>
              </w:rPr>
            </w:pPr>
            <w:r>
              <w:rPr>
                <w:rFonts w:hint="eastAsia" w:ascii="Times New Roman" w:hAnsi="Times New Roman" w:eastAsia="宋体" w:cs="Times New Roman"/>
                <w:color w:val="auto"/>
                <w:sz w:val="24"/>
                <w:szCs w:val="32"/>
                <w:lang w:val="en-US" w:eastAsia="zh-CN"/>
              </w:rPr>
              <w:t>本项目储油罐区存在地下水污染途径，</w:t>
            </w:r>
            <w:r>
              <w:rPr>
                <w:rFonts w:hint="default" w:ascii="Times New Roman" w:hAnsi="Times New Roman" w:eastAsia="宋体" w:cs="Times New Roman"/>
                <w:color w:val="auto"/>
                <w:sz w:val="24"/>
                <w:szCs w:val="32"/>
                <w:lang w:val="en-US" w:eastAsia="zh-CN"/>
              </w:rPr>
              <w:t>本次评价引用宁夏盛博智环境检测有限公司于202</w:t>
            </w:r>
            <w:r>
              <w:rPr>
                <w:rFonts w:hint="eastAsia" w:ascii="Times New Roman" w:hAnsi="Times New Roman" w:eastAsia="宋体" w:cs="Times New Roman"/>
                <w:color w:val="auto"/>
                <w:sz w:val="24"/>
                <w:szCs w:val="32"/>
                <w:lang w:val="en-US" w:eastAsia="zh-CN"/>
              </w:rPr>
              <w:t>1</w:t>
            </w:r>
            <w:r>
              <w:rPr>
                <w:rFonts w:hint="default" w:ascii="Times New Roman" w:hAnsi="Times New Roman" w:eastAsia="宋体" w:cs="Times New Roman"/>
                <w:color w:val="auto"/>
                <w:sz w:val="24"/>
                <w:szCs w:val="32"/>
                <w:lang w:val="en-US" w:eastAsia="zh-CN"/>
              </w:rPr>
              <w:t>年</w:t>
            </w:r>
            <w:r>
              <w:rPr>
                <w:rFonts w:hint="eastAsia" w:ascii="Times New Roman" w:hAnsi="Times New Roman" w:eastAsia="宋体" w:cs="Times New Roman"/>
                <w:color w:val="auto"/>
                <w:sz w:val="24"/>
                <w:szCs w:val="32"/>
                <w:lang w:val="en-US" w:eastAsia="zh-CN"/>
              </w:rPr>
              <w:t>12</w:t>
            </w:r>
            <w:r>
              <w:rPr>
                <w:rFonts w:hint="default" w:ascii="Times New Roman" w:hAnsi="Times New Roman" w:eastAsia="宋体" w:cs="Times New Roman"/>
                <w:color w:val="auto"/>
                <w:sz w:val="24"/>
                <w:szCs w:val="32"/>
                <w:lang w:val="en-US" w:eastAsia="zh-CN"/>
              </w:rPr>
              <w:t>月1日对宁夏中宁宁新实业有限公司新堡加油加气站地下水检测报告的监测数据。本项目与</w:t>
            </w:r>
            <w:r>
              <w:rPr>
                <w:rFonts w:hint="eastAsia" w:ascii="Times New Roman" w:hAnsi="Times New Roman" w:eastAsia="宋体" w:cs="Times New Roman"/>
                <w:color w:val="auto"/>
                <w:sz w:val="24"/>
                <w:szCs w:val="32"/>
                <w:lang w:val="en-US" w:eastAsia="zh-CN"/>
              </w:rPr>
              <w:t>上述</w:t>
            </w:r>
            <w:r>
              <w:rPr>
                <w:rFonts w:hint="default" w:ascii="Times New Roman" w:hAnsi="Times New Roman" w:eastAsia="宋体" w:cs="Times New Roman"/>
                <w:color w:val="auto"/>
                <w:sz w:val="24"/>
                <w:szCs w:val="32"/>
                <w:lang w:val="en-US" w:eastAsia="zh-CN"/>
              </w:rPr>
              <w:t>监测点位属于同一水文地质单元</w:t>
            </w:r>
            <w:r>
              <w:rPr>
                <w:rFonts w:hint="eastAsia" w:ascii="Times New Roman" w:hAnsi="Times New Roman" w:eastAsia="宋体" w:cs="Times New Roman"/>
                <w:color w:val="auto"/>
                <w:sz w:val="24"/>
                <w:szCs w:val="32"/>
                <w:lang w:val="en-US" w:eastAsia="zh-CN"/>
              </w:rPr>
              <w:t>（相距200m）</w:t>
            </w:r>
            <w:r>
              <w:rPr>
                <w:rFonts w:hint="default" w:ascii="Times New Roman" w:hAnsi="Times New Roman" w:eastAsia="宋体" w:cs="Times New Roman"/>
                <w:color w:val="auto"/>
                <w:sz w:val="24"/>
                <w:szCs w:val="32"/>
                <w:lang w:val="en-US" w:eastAsia="zh-CN"/>
              </w:rPr>
              <w:t>，根据《环境影响评价技术导则地下水环境》(HJ610-2016)相关要求，引用该监测数据可行。</w:t>
            </w:r>
          </w:p>
          <w:p>
            <w:pPr>
              <w:pStyle w:val="32"/>
              <w:keepNext w:val="0"/>
              <w:keepLines w:val="0"/>
              <w:pageBreakBefore w:val="0"/>
              <w:widowControl w:val="0"/>
              <w:kinsoku/>
              <w:wordWrap/>
              <w:overflowPunct/>
              <w:topLinePunct w:val="0"/>
              <w:autoSpaceDE/>
              <w:autoSpaceDN/>
              <w:bidi w:val="0"/>
              <w:adjustRightInd/>
              <w:snapToGrid/>
              <w:ind w:firstLine="512"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（1）监测点位</w:t>
            </w:r>
          </w:p>
          <w:p>
            <w:pPr>
              <w:keepNext w:val="0"/>
              <w:keepLines w:val="0"/>
              <w:pageBreakBefore w:val="0"/>
              <w:widowControl w:val="0"/>
              <w:kinsoku/>
              <w:wordWrap/>
              <w:overflowPunct/>
              <w:topLinePunct w:val="0"/>
              <w:autoSpaceDE/>
              <w:autoSpaceDN/>
              <w:bidi w:val="0"/>
              <w:adjustRightInd/>
              <w:snapToGrid/>
              <w:ind w:firstLine="512" w:firstLineChars="200"/>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地下水监测点见</w:t>
            </w:r>
            <w:r>
              <w:rPr>
                <w:rFonts w:hint="eastAsia" w:ascii="Times New Roman" w:hAnsi="Times New Roman" w:eastAsia="宋体" w:cs="Times New Roman"/>
                <w:color w:val="auto"/>
                <w:sz w:val="24"/>
                <w:szCs w:val="24"/>
                <w:lang w:val="en-US" w:eastAsia="zh-CN"/>
              </w:rPr>
              <w:t>下</w:t>
            </w:r>
            <w:r>
              <w:rPr>
                <w:rFonts w:hint="default" w:ascii="Times New Roman" w:hAnsi="Times New Roman" w:eastAsia="宋体" w:cs="Times New Roman"/>
                <w:color w:val="auto"/>
                <w:sz w:val="24"/>
                <w:szCs w:val="24"/>
                <w:lang w:val="en-US" w:eastAsia="zh-CN"/>
              </w:rPr>
              <w:t>表，监测图见</w:t>
            </w:r>
            <w:r>
              <w:rPr>
                <w:rFonts w:hint="eastAsia" w:ascii="Times New Roman" w:hAnsi="Times New Roman" w:eastAsia="宋体" w:cs="Times New Roman"/>
                <w:color w:val="auto"/>
                <w:sz w:val="24"/>
                <w:szCs w:val="24"/>
                <w:lang w:val="en-US" w:eastAsia="zh-CN"/>
              </w:rPr>
              <w:t>图3-1。</w:t>
            </w:r>
          </w:p>
          <w:p>
            <w:pPr>
              <w:pStyle w:val="32"/>
              <w:jc w:val="center"/>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表3-</w:t>
            </w:r>
            <w:r>
              <w:rPr>
                <w:rFonts w:hint="eastAsia" w:ascii="Times New Roman" w:hAnsi="Times New Roman" w:eastAsia="黑体" w:cs="Times New Roman"/>
                <w:color w:val="auto"/>
                <w:sz w:val="24"/>
                <w:szCs w:val="24"/>
                <w:lang w:val="en-US" w:eastAsia="zh-CN"/>
              </w:rPr>
              <w:t>2</w:t>
            </w:r>
            <w:r>
              <w:rPr>
                <w:rFonts w:hint="default" w:ascii="Times New Roman" w:hAnsi="Times New Roman" w:eastAsia="黑体" w:cs="Times New Roman"/>
                <w:color w:val="auto"/>
                <w:sz w:val="24"/>
                <w:szCs w:val="24"/>
                <w:lang w:val="en-US" w:eastAsia="zh-CN"/>
              </w:rPr>
              <w:t xml:space="preserve">  地下水布点一览表</w:t>
            </w:r>
          </w:p>
          <w:tbl>
            <w:tblPr>
              <w:tblStyle w:val="27"/>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1"/>
              <w:gridCol w:w="1725"/>
              <w:gridCol w:w="1927"/>
              <w:gridCol w:w="1340"/>
              <w:gridCol w:w="1628"/>
              <w:gridCol w:w="12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7" w:type="pct"/>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点位编号</w:t>
                  </w:r>
                </w:p>
              </w:tc>
              <w:tc>
                <w:tcPr>
                  <w:tcW w:w="963" w:type="pct"/>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监测点名称</w:t>
                  </w:r>
                </w:p>
              </w:tc>
              <w:tc>
                <w:tcPr>
                  <w:tcW w:w="1076" w:type="pct"/>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坐标</w:t>
                  </w:r>
                </w:p>
              </w:tc>
              <w:tc>
                <w:tcPr>
                  <w:tcW w:w="748" w:type="pct"/>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水井功能</w:t>
                  </w:r>
                </w:p>
              </w:tc>
              <w:tc>
                <w:tcPr>
                  <w:tcW w:w="909" w:type="pct"/>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剧本项目距离</w:t>
                  </w:r>
                </w:p>
              </w:tc>
              <w:tc>
                <w:tcPr>
                  <w:tcW w:w="714" w:type="pct"/>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7" w:type="pct"/>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r>
                    <w:rPr>
                      <w:rFonts w:hint="default" w:ascii="Times New Roman" w:hAnsi="Times New Roman" w:eastAsia="宋体" w:cs="Times New Roman"/>
                      <w:color w:val="auto"/>
                      <w:sz w:val="21"/>
                      <w:szCs w:val="21"/>
                      <w:vertAlign w:val="baseline"/>
                      <w:lang w:val="en-US" w:eastAsia="zh-CN"/>
                    </w:rPr>
                    <w:t>#</w:t>
                  </w:r>
                </w:p>
              </w:tc>
              <w:tc>
                <w:tcPr>
                  <w:tcW w:w="96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加油加气站内地下水监测井</w:t>
                  </w:r>
                </w:p>
              </w:tc>
              <w:tc>
                <w:tcPr>
                  <w:tcW w:w="1076" w:type="pct"/>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N:37°</w:t>
                  </w:r>
                  <w:r>
                    <w:rPr>
                      <w:rFonts w:hint="eastAsia" w:cs="Times New Roman"/>
                      <w:color w:val="auto"/>
                      <w:sz w:val="21"/>
                      <w:szCs w:val="21"/>
                      <w:vertAlign w:val="baseline"/>
                      <w:lang w:val="en-US" w:eastAsia="zh-CN"/>
                    </w:rPr>
                    <w:t>28</w:t>
                  </w:r>
                  <w:r>
                    <w:rPr>
                      <w:rFonts w:hint="default" w:ascii="Times New Roman" w:hAnsi="Times New Roman" w:eastAsia="宋体" w:cs="Times New Roman"/>
                      <w:color w:val="auto"/>
                      <w:sz w:val="21"/>
                      <w:szCs w:val="21"/>
                      <w:vertAlign w:val="baseline"/>
                      <w:lang w:val="en-US" w:eastAsia="zh-CN"/>
                    </w:rPr>
                    <w:t>′</w:t>
                  </w:r>
                  <w:r>
                    <w:rPr>
                      <w:rFonts w:hint="eastAsia" w:cs="Times New Roman"/>
                      <w:color w:val="auto"/>
                      <w:sz w:val="21"/>
                      <w:szCs w:val="21"/>
                      <w:vertAlign w:val="baseline"/>
                      <w:lang w:val="en-US" w:eastAsia="zh-CN"/>
                    </w:rPr>
                    <w:t>35.4</w:t>
                  </w:r>
                  <w:r>
                    <w:rPr>
                      <w:rFonts w:hint="default" w:ascii="Times New Roman" w:hAnsi="Times New Roman" w:eastAsia="宋体" w:cs="Times New Roman"/>
                      <w:color w:val="auto"/>
                      <w:sz w:val="21"/>
                      <w:szCs w:val="21"/>
                      <w:vertAlign w:val="baseline"/>
                      <w:lang w:val="en-US" w:eastAsia="zh-CN"/>
                    </w:rPr>
                    <w:t>″</w:t>
                  </w:r>
                </w:p>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E:10</w:t>
                  </w:r>
                  <w:r>
                    <w:rPr>
                      <w:rFonts w:hint="eastAsia" w:cs="Times New Roman"/>
                      <w:color w:val="auto"/>
                      <w:sz w:val="21"/>
                      <w:szCs w:val="21"/>
                      <w:vertAlign w:val="baseline"/>
                      <w:lang w:val="en-US" w:eastAsia="zh-CN"/>
                    </w:rPr>
                    <w:t>5</w:t>
                  </w:r>
                  <w:r>
                    <w:rPr>
                      <w:rFonts w:hint="default" w:ascii="Times New Roman" w:hAnsi="Times New Roman" w:eastAsia="宋体" w:cs="Times New Roman"/>
                      <w:color w:val="auto"/>
                      <w:sz w:val="21"/>
                      <w:szCs w:val="21"/>
                      <w:vertAlign w:val="baseline"/>
                      <w:lang w:val="en-US" w:eastAsia="zh-CN"/>
                    </w:rPr>
                    <w:t>°</w:t>
                  </w:r>
                  <w:r>
                    <w:rPr>
                      <w:rFonts w:hint="eastAsia" w:cs="Times New Roman"/>
                      <w:color w:val="auto"/>
                      <w:sz w:val="21"/>
                      <w:szCs w:val="21"/>
                      <w:vertAlign w:val="baseline"/>
                      <w:lang w:val="en-US" w:eastAsia="zh-CN"/>
                    </w:rPr>
                    <w:t>41</w:t>
                  </w:r>
                  <w:r>
                    <w:rPr>
                      <w:rFonts w:hint="default" w:ascii="Times New Roman" w:hAnsi="Times New Roman" w:eastAsia="宋体" w:cs="Times New Roman"/>
                      <w:color w:val="auto"/>
                      <w:sz w:val="21"/>
                      <w:szCs w:val="21"/>
                      <w:vertAlign w:val="baseline"/>
                      <w:lang w:val="en-US" w:eastAsia="zh-CN"/>
                    </w:rPr>
                    <w:t>′</w:t>
                  </w:r>
                  <w:r>
                    <w:rPr>
                      <w:rFonts w:hint="eastAsia" w:cs="Times New Roman"/>
                      <w:color w:val="auto"/>
                      <w:sz w:val="21"/>
                      <w:szCs w:val="21"/>
                      <w:vertAlign w:val="baseline"/>
                      <w:lang w:val="en-US" w:eastAsia="zh-CN"/>
                    </w:rPr>
                    <w:t>54.24</w:t>
                  </w:r>
                  <w:r>
                    <w:rPr>
                      <w:rFonts w:hint="default" w:ascii="Times New Roman" w:hAnsi="Times New Roman" w:eastAsia="宋体" w:cs="Times New Roman"/>
                      <w:color w:val="auto"/>
                      <w:sz w:val="21"/>
                      <w:szCs w:val="21"/>
                      <w:vertAlign w:val="baseline"/>
                      <w:lang w:val="en-US" w:eastAsia="zh-CN"/>
                    </w:rPr>
                    <w:t>″</w:t>
                  </w:r>
                </w:p>
              </w:tc>
              <w:tc>
                <w:tcPr>
                  <w:tcW w:w="74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地下水监测井</w:t>
                  </w:r>
                </w:p>
              </w:tc>
              <w:tc>
                <w:tcPr>
                  <w:tcW w:w="90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200m</w:t>
                  </w:r>
                </w:p>
              </w:tc>
              <w:tc>
                <w:tcPr>
                  <w:tcW w:w="71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kern w:val="0"/>
                      <w:sz w:val="21"/>
                      <w:szCs w:val="21"/>
                      <w:lang w:val="en-US" w:eastAsia="zh-CN" w:bidi="ar"/>
                    </w:rPr>
                    <w:t>无色、无味</w:t>
                  </w:r>
                </w:p>
              </w:tc>
            </w:tr>
          </w:tbl>
          <w:p>
            <w:pPr>
              <w:keepNext w:val="0"/>
              <w:keepLines w:val="0"/>
              <w:pageBreakBefore w:val="0"/>
              <w:widowControl w:val="0"/>
              <w:kinsoku/>
              <w:wordWrap/>
              <w:overflowPunct/>
              <w:topLinePunct w:val="0"/>
              <w:autoSpaceDE/>
              <w:autoSpaceDN/>
              <w:bidi w:val="0"/>
              <w:adjustRightInd/>
              <w:snapToGrid/>
              <w:ind w:firstLine="512"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监测因子</w:t>
            </w:r>
          </w:p>
          <w:p>
            <w:pPr>
              <w:keepNext w:val="0"/>
              <w:keepLines w:val="0"/>
              <w:pageBreakBefore w:val="0"/>
              <w:widowControl w:val="0"/>
              <w:kinsoku/>
              <w:wordWrap/>
              <w:overflowPunct/>
              <w:topLinePunct w:val="0"/>
              <w:autoSpaceDE/>
              <w:autoSpaceDN/>
              <w:bidi w:val="0"/>
              <w:adjustRightInd/>
              <w:snapToGrid/>
              <w:ind w:firstLine="512"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溶解氧、氧化还原电位、</w:t>
            </w:r>
            <w:r>
              <w:rPr>
                <w:rFonts w:hint="eastAsia" w:cs="Times New Roman"/>
                <w:color w:val="auto"/>
                <w:sz w:val="24"/>
                <w:szCs w:val="24"/>
                <w:lang w:val="en-US" w:eastAsia="zh-CN"/>
              </w:rPr>
              <w:t>p</w:t>
            </w:r>
            <w:r>
              <w:rPr>
                <w:rFonts w:hint="default" w:ascii="Times New Roman" w:hAnsi="Times New Roman" w:eastAsia="宋体" w:cs="Times New Roman"/>
                <w:color w:val="auto"/>
                <w:sz w:val="24"/>
                <w:szCs w:val="24"/>
                <w:lang w:val="en-US" w:eastAsia="zh-CN"/>
              </w:rPr>
              <w:t>H、色度、苯、甲苯、乙苯、邻二甲苯、间（对）二甲苯、臭和味、浑浊度、石油类、电导率</w:t>
            </w:r>
            <w:r>
              <w:rPr>
                <w:rFonts w:hint="eastAsia"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ind w:firstLine="512"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监测时间及频次</w:t>
            </w:r>
          </w:p>
          <w:p>
            <w:pPr>
              <w:keepNext w:val="0"/>
              <w:keepLines w:val="0"/>
              <w:pageBreakBefore w:val="0"/>
              <w:widowControl w:val="0"/>
              <w:kinsoku/>
              <w:wordWrap/>
              <w:overflowPunct/>
              <w:topLinePunct w:val="0"/>
              <w:autoSpaceDE/>
              <w:autoSpaceDN/>
              <w:bidi w:val="0"/>
              <w:adjustRightInd/>
              <w:snapToGrid/>
              <w:ind w:firstLine="512"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监测点采样时间为202</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年</w:t>
            </w:r>
            <w:r>
              <w:rPr>
                <w:rFonts w:hint="eastAsia"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月</w:t>
            </w:r>
            <w:r>
              <w:rPr>
                <w:rFonts w:hint="eastAsia" w:cs="Times New Roman"/>
                <w:color w:val="auto"/>
                <w:sz w:val="24"/>
                <w:szCs w:val="24"/>
                <w:lang w:val="en-US" w:eastAsia="zh-CN"/>
              </w:rPr>
              <w:t>25</w:t>
            </w:r>
            <w:r>
              <w:rPr>
                <w:rFonts w:hint="default" w:ascii="Times New Roman" w:hAnsi="Times New Roman" w:eastAsia="宋体" w:cs="Times New Roman"/>
                <w:color w:val="auto"/>
                <w:sz w:val="24"/>
                <w:szCs w:val="24"/>
                <w:lang w:val="en-US" w:eastAsia="zh-CN"/>
              </w:rPr>
              <w:t>日，检测1天，每天1次</w:t>
            </w:r>
            <w:r>
              <w:rPr>
                <w:rFonts w:hint="eastAsia" w:cs="Times New Roman"/>
                <w:color w:val="auto"/>
                <w:sz w:val="24"/>
                <w:szCs w:val="24"/>
                <w:lang w:val="en-US" w:eastAsia="zh-CN"/>
              </w:rPr>
              <w:t>。</w:t>
            </w:r>
          </w:p>
          <w:p>
            <w:pPr>
              <w:pStyle w:val="32"/>
              <w:keepNext w:val="0"/>
              <w:keepLines w:val="0"/>
              <w:pageBreakBefore w:val="0"/>
              <w:widowControl w:val="0"/>
              <w:kinsoku/>
              <w:wordWrap/>
              <w:overflowPunct/>
              <w:topLinePunct w:val="0"/>
              <w:autoSpaceDE/>
              <w:autoSpaceDN/>
              <w:bidi w:val="0"/>
              <w:adjustRightInd/>
              <w:snapToGrid/>
              <w:ind w:firstLine="512"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（4）检测结果</w:t>
            </w:r>
          </w:p>
          <w:p>
            <w:pPr>
              <w:keepNext w:val="0"/>
              <w:keepLines w:val="0"/>
              <w:pageBreakBefore w:val="0"/>
              <w:widowControl w:val="0"/>
              <w:kinsoku/>
              <w:wordWrap/>
              <w:overflowPunct/>
              <w:topLinePunct w:val="0"/>
              <w:autoSpaceDE/>
              <w:autoSpaceDN/>
              <w:bidi w:val="0"/>
              <w:adjustRightInd/>
              <w:snapToGrid/>
              <w:ind w:firstLine="512"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检测结果见</w:t>
            </w:r>
            <w:r>
              <w:rPr>
                <w:rFonts w:hint="eastAsia" w:ascii="Times New Roman" w:hAnsi="Times New Roman" w:eastAsia="宋体" w:cs="Times New Roman"/>
                <w:color w:val="auto"/>
                <w:sz w:val="24"/>
                <w:szCs w:val="24"/>
                <w:lang w:val="en-US" w:eastAsia="zh-CN"/>
              </w:rPr>
              <w:t>下</w:t>
            </w:r>
            <w:r>
              <w:rPr>
                <w:rFonts w:hint="default" w:ascii="Times New Roman" w:hAnsi="Times New Roman" w:eastAsia="宋体" w:cs="Times New Roman"/>
                <w:color w:val="auto"/>
                <w:sz w:val="24"/>
                <w:szCs w:val="24"/>
                <w:lang w:val="en-US" w:eastAsia="zh-CN"/>
              </w:rPr>
              <w:t>表</w:t>
            </w:r>
            <w:r>
              <w:rPr>
                <w:rFonts w:hint="eastAsia" w:ascii="Times New Roman" w:hAnsi="Times New Roman" w:eastAsia="宋体" w:cs="Times New Roman"/>
                <w:color w:val="auto"/>
                <w:sz w:val="24"/>
                <w:szCs w:val="24"/>
                <w:lang w:val="en-US" w:eastAsia="zh-CN"/>
              </w:rPr>
              <w:t>。</w:t>
            </w:r>
          </w:p>
          <w:p>
            <w:pPr>
              <w:pStyle w:val="32"/>
              <w:rPr>
                <w:rFonts w:hint="default" w:ascii="Times New Roman" w:hAnsi="Times New Roman" w:eastAsia="黑体" w:cs="Times New Roman"/>
                <w:color w:val="auto"/>
                <w:sz w:val="24"/>
                <w:szCs w:val="24"/>
                <w:lang w:val="en-US" w:eastAsia="zh-CN"/>
              </w:rPr>
            </w:pPr>
            <w:r>
              <w:rPr>
                <w:rFonts w:hint="eastAsia" w:ascii="Times New Roman" w:hAnsi="Times New Roman" w:eastAsia="黑体" w:cs="Times New Roman"/>
                <w:color w:val="auto"/>
                <w:sz w:val="24"/>
                <w:szCs w:val="24"/>
                <w:lang w:val="en-US" w:eastAsia="zh-CN"/>
              </w:rPr>
              <w:t xml:space="preserve">表3-3  </w:t>
            </w:r>
            <w:r>
              <w:rPr>
                <w:rFonts w:hint="default" w:ascii="Times New Roman" w:hAnsi="Times New Roman" w:eastAsia="黑体" w:cs="Times New Roman"/>
                <w:color w:val="auto"/>
                <w:sz w:val="24"/>
                <w:szCs w:val="24"/>
                <w:lang w:val="en-US" w:eastAsia="zh-CN"/>
              </w:rPr>
              <w:t>地下水检测结果一览表</w:t>
            </w:r>
          </w:p>
          <w:tbl>
            <w:tblPr>
              <w:tblStyle w:val="26"/>
              <w:tblW w:w="0" w:type="auto"/>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869"/>
              <w:gridCol w:w="1434"/>
              <w:gridCol w:w="2367"/>
              <w:gridCol w:w="1764"/>
              <w:gridCol w:w="128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trPr>
              <w:tc>
                <w:tcPr>
                  <w:tcW w:w="1869" w:type="dxa"/>
                  <w:tcBorders>
                    <w:left w:val="nil"/>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单位名称</w:t>
                  </w:r>
                </w:p>
              </w:tc>
              <w:tc>
                <w:tcPr>
                  <w:tcW w:w="6847" w:type="dxa"/>
                  <w:gridSpan w:val="4"/>
                  <w:tcBorders>
                    <w:left w:val="single" w:color="000000" w:sz="4" w:space="0"/>
                    <w:bottom w:val="single" w:color="000000" w:sz="4" w:space="0"/>
                    <w:right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宁夏中宁宁新实业有限公司新堡加油加气站</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trPr>
              <w:tc>
                <w:tcPr>
                  <w:tcW w:w="1869" w:type="dxa"/>
                  <w:tcBorders>
                    <w:top w:val="single" w:color="000000" w:sz="4" w:space="0"/>
                    <w:left w:val="nil"/>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采样地点</w:t>
                  </w:r>
                </w:p>
              </w:tc>
              <w:tc>
                <w:tcPr>
                  <w:tcW w:w="6847" w:type="dxa"/>
                  <w:gridSpan w:val="4"/>
                  <w:tcBorders>
                    <w:top w:val="single" w:color="000000" w:sz="4" w:space="0"/>
                    <w:left w:val="single" w:color="000000" w:sz="4" w:space="0"/>
                    <w:bottom w:val="single" w:color="000000" w:sz="4" w:space="0"/>
                    <w:right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地下水监测井</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trPr>
              <w:tc>
                <w:tcPr>
                  <w:tcW w:w="1869" w:type="dxa"/>
                  <w:tcBorders>
                    <w:top w:val="single" w:color="000000" w:sz="4" w:space="0"/>
                    <w:left w:val="nil"/>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执行标准</w:t>
                  </w:r>
                </w:p>
              </w:tc>
              <w:tc>
                <w:tcPr>
                  <w:tcW w:w="6847" w:type="dxa"/>
                  <w:gridSpan w:val="4"/>
                  <w:tcBorders>
                    <w:top w:val="single" w:color="000000" w:sz="4" w:space="0"/>
                    <w:left w:val="single" w:color="000000" w:sz="4" w:space="0"/>
                    <w:bottom w:val="single" w:color="000000" w:sz="4" w:space="0"/>
                    <w:right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《地下水质量标准》（GB14848-2017）Ⅲ类标准限值要求</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60" w:hRule="atLeast"/>
              </w:trPr>
              <w:tc>
                <w:tcPr>
                  <w:tcW w:w="1869" w:type="dxa"/>
                  <w:tcBorders>
                    <w:top w:val="single" w:color="000000" w:sz="4" w:space="0"/>
                    <w:left w:val="nil"/>
                    <w:bottom w:val="single" w:color="000000" w:sz="4" w:space="0"/>
                    <w:right w:val="single" w:color="000000" w:sz="4" w:space="0"/>
                  </w:tcBorders>
                  <w:vAlign w:val="center"/>
                  <mc:AlternateContent>
                    <mc:Choice Requires="wpsCustomData">
                      <wpsCustomData:diagonals>
                        <wpsCustomData:diagonal from="10000" to="30000">
                          <wpsCustomData:border w:val="single" w:color="000000" w:sz="4" w:space="0"/>
                        </wpsCustomData:diagonal>
                      </wpsCustomData:diagonals>
                    </mc:Choice>
                  </mc:AlternateContent>
                </w:tcPr>
                <w:p>
                  <w:pPr>
                    <w:pStyle w:val="77"/>
                    <w:keepNext w:val="0"/>
                    <w:keepLines w:val="0"/>
                    <w:pageBreakBefore w:val="0"/>
                    <w:kinsoku/>
                    <w:wordWrap/>
                    <w:overflowPunct/>
                    <w:topLinePunct w:val="0"/>
                    <w:autoSpaceDE/>
                    <w:autoSpaceDN/>
                    <w:bidi w:val="0"/>
                    <w:adjustRightInd/>
                    <w:snapToGrid w:val="0"/>
                    <w:spacing w:line="240" w:lineRule="auto"/>
                    <w:ind w:left="0" w:right="0"/>
                    <w:jc w:val="both"/>
                    <w:textAlignment w:val="auto"/>
                    <w:rPr>
                      <w:rFonts w:hint="default" w:ascii="宋体" w:eastAsia="宋体"/>
                      <w:color w:val="auto"/>
                      <w:sz w:val="21"/>
                      <w:lang w:val="en-US" w:eastAsia="zh-CN"/>
                    </w:rPr>
                  </w:pPr>
                </w:p>
                <w:p>
                  <w:pPr>
                    <w:pStyle w:val="77"/>
                    <w:keepNext w:val="0"/>
                    <w:keepLines w:val="0"/>
                    <w:pageBreakBefore w:val="0"/>
                    <w:kinsoku/>
                    <w:wordWrap/>
                    <w:overflowPunct/>
                    <w:topLinePunct w:val="0"/>
                    <w:autoSpaceDE/>
                    <w:autoSpaceDN/>
                    <w:bidi w:val="0"/>
                    <w:adjustRightInd/>
                    <w:snapToGrid w:val="0"/>
                    <w:spacing w:line="240" w:lineRule="auto"/>
                    <w:ind w:left="0" w:right="0"/>
                    <w:jc w:val="both"/>
                    <w:textAlignment w:val="auto"/>
                    <w:rPr>
                      <w:rFonts w:hint="default" w:ascii="宋体" w:eastAsia="宋体"/>
                      <w:color w:val="auto"/>
                      <w:sz w:val="21"/>
                      <w:lang w:val="en-US" w:eastAsia="zh-CN"/>
                    </w:rPr>
                  </w:pPr>
                </w:p>
                <w:p>
                  <w:pPr>
                    <w:pStyle w:val="77"/>
                    <w:keepNext w:val="0"/>
                    <w:keepLines w:val="0"/>
                    <w:pageBreakBefore w:val="0"/>
                    <w:kinsoku/>
                    <w:wordWrap/>
                    <w:overflowPunct/>
                    <w:topLinePunct w:val="0"/>
                    <w:autoSpaceDE/>
                    <w:autoSpaceDN/>
                    <w:bidi w:val="0"/>
                    <w:adjustRightInd/>
                    <w:snapToGrid w:val="0"/>
                    <w:spacing w:line="240" w:lineRule="auto"/>
                    <w:ind w:left="0" w:right="0"/>
                    <w:jc w:val="both"/>
                    <w:textAlignment w:val="auto"/>
                    <mc:AlternateContent>
                      <mc:Choice Requires="wpsCustomData">
                        <wpsCustomData:diagonalParaType/>
                      </mc:Choice>
                    </mc:AlternateContent>
                    <w:rPr>
                      <w:rFonts w:hint="default" w:ascii="Times New Roman" w:hAnsi="Times New Roman" w:eastAsia="宋体" w:cs="Times New Roman"/>
                      <w:color w:val="auto"/>
                      <w:sz w:val="21"/>
                      <w:szCs w:val="21"/>
                    </w:rPr>
                  </w:pPr>
                  <w:r>
                    <w:rPr>
                      <w:rFonts w:hint="default" w:ascii="宋体" w:eastAsia="宋体"/>
                      <w:color w:val="auto"/>
                      <w:sz w:val="21"/>
                      <w:lang w:val="en-US" w:eastAsia="zh-CN"/>
                    </w:rPr>
                    <w:t>检测项目</w:t>
                  </w:r>
                </w:p>
                <w:p>
                  <w:pPr>
                    <w:pStyle w:val="77"/>
                    <w:keepNext w:val="0"/>
                    <w:keepLines w:val="0"/>
                    <w:pageBreakBefore w:val="0"/>
                    <w:kinsoku/>
                    <w:wordWrap/>
                    <w:overflowPunct/>
                    <w:topLinePunct w:val="0"/>
                    <w:autoSpaceDE/>
                    <w:autoSpaceDN/>
                    <w:bidi w:val="0"/>
                    <w:adjustRightInd/>
                    <w:snapToGrid w:val="0"/>
                    <w:spacing w:line="240" w:lineRule="auto"/>
                    <w:ind w:left="0" w:right="0" w:firstLine="226" w:firstLineChars="100"/>
                    <w:jc w:val="both"/>
                    <w:textAlignment w:val="auto"/>
                    <w:rPr>
                      <w:rFonts w:hint="eastAsia" w:ascii="宋体" w:eastAsia="宋体"/>
                      <w:color w:val="auto"/>
                      <w:sz w:val="21"/>
                    </w:rPr>
                  </w:pPr>
                  <w:r>
                    <w:rPr>
                      <w:rFonts w:hint="eastAsia" w:ascii="宋体" w:eastAsia="宋体"/>
                      <w:color w:val="auto"/>
                      <w:sz w:val="21"/>
                    </w:rPr>
                    <w:t>检测结果</w:t>
                  </w:r>
                </w:p>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eastAsia" w:ascii="宋体" w:eastAsia="宋体"/>
                      <w:color w:val="auto"/>
                      <w:sz w:val="21"/>
                    </w:rPr>
                  </w:pPr>
                </w:p>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eastAsia" w:ascii="宋体" w:eastAsia="宋体"/>
                      <w:color w:val="auto"/>
                      <w:sz w:val="21"/>
                    </w:rPr>
                  </w:pPr>
                </w:p>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宋体" w:eastAsia="宋体"/>
                      <w:color w:val="auto"/>
                      <w:sz w:val="21"/>
                      <w:lang w:val="en-US" w:eastAsia="zh-CN"/>
                    </w:rPr>
                  </w:pPr>
                </w:p>
              </w:tc>
              <w:tc>
                <w:tcPr>
                  <w:tcW w:w="1434" w:type="dxa"/>
                  <w:tcBorders>
                    <w:top w:val="single" w:color="000000" w:sz="4" w:space="0"/>
                    <w:left w:val="single" w:color="000000" w:sz="4" w:space="0"/>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检测点位</w:t>
                  </w:r>
                </w:p>
              </w:tc>
              <w:tc>
                <w:tcPr>
                  <w:tcW w:w="2367" w:type="dxa"/>
                  <w:tcBorders>
                    <w:top w:val="single" w:color="000000" w:sz="4" w:space="0"/>
                    <w:left w:val="single" w:color="000000" w:sz="4" w:space="0"/>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检测结果</w:t>
                  </w:r>
                </w:p>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764" w:type="dxa"/>
                  <w:tcBorders>
                    <w:top w:val="single" w:color="000000" w:sz="4" w:space="0"/>
                    <w:left w:val="single" w:color="000000" w:sz="4" w:space="0"/>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标准限值要求</w:t>
                  </w:r>
                </w:p>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282" w:type="dxa"/>
                  <w:tcBorders>
                    <w:top w:val="single" w:color="000000" w:sz="4" w:space="0"/>
                    <w:left w:val="single" w:color="000000" w:sz="4" w:space="0"/>
                    <w:bottom w:val="single" w:color="000000" w:sz="4" w:space="0"/>
                    <w:right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trPr>
              <w:tc>
                <w:tcPr>
                  <w:tcW w:w="1869" w:type="dxa"/>
                  <w:tcBorders>
                    <w:top w:val="single" w:color="000000" w:sz="4" w:space="0"/>
                    <w:left w:val="nil"/>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1434" w:type="dxa"/>
                  <w:vMerge w:val="restart"/>
                  <w:tcBorders>
                    <w:top w:val="single" w:color="000000" w:sz="4" w:space="0"/>
                    <w:left w:val="single" w:color="000000" w:sz="4" w:space="0"/>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both"/>
                    <w:textAlignment w:val="auto"/>
                    <w:rPr>
                      <w:rFonts w:hint="default" w:ascii="Times New Roman" w:hAnsi="Times New Roman" w:eastAsia="宋体" w:cs="Times New Roman"/>
                      <w:color w:val="auto"/>
                      <w:sz w:val="21"/>
                      <w:szCs w:val="21"/>
                    </w:rPr>
                  </w:pPr>
                </w:p>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eastAsia" w:ascii="宋体" w:hAnsi="宋体" w:eastAsia="宋体" w:cs="宋体"/>
                      <w:color w:val="auto"/>
                      <w:kern w:val="0"/>
                      <w:sz w:val="21"/>
                      <w:szCs w:val="21"/>
                      <w:lang w:val="en-US" w:eastAsia="zh-CN" w:bidi="ar"/>
                    </w:rPr>
                    <w:t>加油加气站内地下水监测井</w:t>
                  </w:r>
                </w:p>
              </w:tc>
              <w:tc>
                <w:tcPr>
                  <w:tcW w:w="2367" w:type="dxa"/>
                  <w:tcBorders>
                    <w:top w:val="single" w:color="000000" w:sz="4" w:space="0"/>
                    <w:left w:val="single" w:color="000000" w:sz="4" w:space="0"/>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7.72</w:t>
                  </w:r>
                </w:p>
              </w:tc>
              <w:tc>
                <w:tcPr>
                  <w:tcW w:w="1764" w:type="dxa"/>
                  <w:tcBorders>
                    <w:top w:val="single" w:color="000000" w:sz="4" w:space="0"/>
                    <w:left w:val="single" w:color="000000" w:sz="4" w:space="0"/>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6.5-8.5</w:t>
                  </w:r>
                </w:p>
              </w:tc>
              <w:tc>
                <w:tcPr>
                  <w:tcW w:w="1282" w:type="dxa"/>
                  <w:tcBorders>
                    <w:top w:val="single" w:color="000000" w:sz="4" w:space="0"/>
                    <w:left w:val="single" w:color="000000" w:sz="4" w:space="0"/>
                    <w:bottom w:val="single" w:color="000000" w:sz="4" w:space="0"/>
                    <w:right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trPr>
              <w:tc>
                <w:tcPr>
                  <w:tcW w:w="1869" w:type="dxa"/>
                  <w:tcBorders>
                    <w:top w:val="single" w:color="000000" w:sz="4" w:space="0"/>
                    <w:left w:val="nil"/>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色度</w:t>
                  </w:r>
                </w:p>
              </w:tc>
              <w:tc>
                <w:tcPr>
                  <w:tcW w:w="1434"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p>
              </w:tc>
              <w:tc>
                <w:tcPr>
                  <w:tcW w:w="2367" w:type="dxa"/>
                  <w:tcBorders>
                    <w:top w:val="single" w:color="000000" w:sz="4" w:space="0"/>
                    <w:left w:val="single" w:color="000000" w:sz="4" w:space="0"/>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0</w:t>
                  </w:r>
                </w:p>
              </w:tc>
              <w:tc>
                <w:tcPr>
                  <w:tcW w:w="1764" w:type="dxa"/>
                  <w:tcBorders>
                    <w:top w:val="single" w:color="000000" w:sz="4" w:space="0"/>
                    <w:left w:val="single" w:color="000000" w:sz="4" w:space="0"/>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282" w:type="dxa"/>
                  <w:tcBorders>
                    <w:top w:val="single" w:color="000000" w:sz="4" w:space="0"/>
                    <w:left w:val="single" w:color="000000" w:sz="4" w:space="0"/>
                    <w:bottom w:val="single" w:color="000000" w:sz="4" w:space="0"/>
                    <w:right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trPr>
              <w:tc>
                <w:tcPr>
                  <w:tcW w:w="1869" w:type="dxa"/>
                  <w:tcBorders>
                    <w:top w:val="single" w:color="000000" w:sz="4" w:space="0"/>
                    <w:left w:val="nil"/>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溶解氧</w:t>
                  </w:r>
                </w:p>
              </w:tc>
              <w:tc>
                <w:tcPr>
                  <w:tcW w:w="1434"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p>
              </w:tc>
              <w:tc>
                <w:tcPr>
                  <w:tcW w:w="2367" w:type="dxa"/>
                  <w:tcBorders>
                    <w:top w:val="single" w:color="000000" w:sz="4" w:space="0"/>
                    <w:left w:val="single" w:color="000000" w:sz="4" w:space="0"/>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0.94</w:t>
                  </w:r>
                </w:p>
              </w:tc>
              <w:tc>
                <w:tcPr>
                  <w:tcW w:w="1764" w:type="dxa"/>
                  <w:tcBorders>
                    <w:top w:val="single" w:color="000000" w:sz="4" w:space="0"/>
                    <w:left w:val="single" w:color="000000" w:sz="4" w:space="0"/>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w:t>
                  </w:r>
                </w:p>
              </w:tc>
              <w:tc>
                <w:tcPr>
                  <w:tcW w:w="1282" w:type="dxa"/>
                  <w:tcBorders>
                    <w:top w:val="single" w:color="000000" w:sz="4" w:space="0"/>
                    <w:left w:val="single" w:color="000000" w:sz="4" w:space="0"/>
                    <w:bottom w:val="single" w:color="000000" w:sz="4" w:space="0"/>
                    <w:right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trPr>
              <w:tc>
                <w:tcPr>
                  <w:tcW w:w="1869" w:type="dxa"/>
                  <w:tcBorders>
                    <w:top w:val="single" w:color="000000" w:sz="4" w:space="0"/>
                    <w:left w:val="nil"/>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氧化还原电位</w:t>
                  </w:r>
                </w:p>
              </w:tc>
              <w:tc>
                <w:tcPr>
                  <w:tcW w:w="1434"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p>
              </w:tc>
              <w:tc>
                <w:tcPr>
                  <w:tcW w:w="2367" w:type="dxa"/>
                  <w:tcBorders>
                    <w:top w:val="single" w:color="000000" w:sz="4" w:space="0"/>
                    <w:left w:val="single" w:color="000000" w:sz="4" w:space="0"/>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374</w:t>
                  </w:r>
                </w:p>
              </w:tc>
              <w:tc>
                <w:tcPr>
                  <w:tcW w:w="1764" w:type="dxa"/>
                  <w:tcBorders>
                    <w:top w:val="single" w:color="000000" w:sz="4" w:space="0"/>
                    <w:left w:val="single" w:color="000000" w:sz="4" w:space="0"/>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w:t>
                  </w:r>
                </w:p>
              </w:tc>
              <w:tc>
                <w:tcPr>
                  <w:tcW w:w="1282" w:type="dxa"/>
                  <w:tcBorders>
                    <w:top w:val="single" w:color="000000" w:sz="4" w:space="0"/>
                    <w:left w:val="single" w:color="000000" w:sz="4" w:space="0"/>
                    <w:bottom w:val="single" w:color="000000" w:sz="4" w:space="0"/>
                    <w:right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trPr>
              <w:tc>
                <w:tcPr>
                  <w:tcW w:w="1869" w:type="dxa"/>
                  <w:tcBorders>
                    <w:top w:val="single" w:color="000000" w:sz="4" w:space="0"/>
                    <w:left w:val="nil"/>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电导率</w:t>
                  </w:r>
                </w:p>
              </w:tc>
              <w:tc>
                <w:tcPr>
                  <w:tcW w:w="1434"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p>
              </w:tc>
              <w:tc>
                <w:tcPr>
                  <w:tcW w:w="2367" w:type="dxa"/>
                  <w:tcBorders>
                    <w:top w:val="single" w:color="000000" w:sz="4" w:space="0"/>
                    <w:left w:val="single" w:color="000000" w:sz="4" w:space="0"/>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1185</w:t>
                  </w:r>
                </w:p>
              </w:tc>
              <w:tc>
                <w:tcPr>
                  <w:tcW w:w="1764" w:type="dxa"/>
                  <w:tcBorders>
                    <w:top w:val="single" w:color="000000" w:sz="4" w:space="0"/>
                    <w:left w:val="single" w:color="000000" w:sz="4" w:space="0"/>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w:t>
                  </w:r>
                </w:p>
              </w:tc>
              <w:tc>
                <w:tcPr>
                  <w:tcW w:w="1282" w:type="dxa"/>
                  <w:tcBorders>
                    <w:top w:val="single" w:color="000000" w:sz="4" w:space="0"/>
                    <w:left w:val="single" w:color="000000" w:sz="4" w:space="0"/>
                    <w:bottom w:val="single" w:color="000000" w:sz="4" w:space="0"/>
                    <w:right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trPr>
              <w:tc>
                <w:tcPr>
                  <w:tcW w:w="1869" w:type="dxa"/>
                  <w:tcBorders>
                    <w:top w:val="single" w:color="000000" w:sz="4" w:space="0"/>
                    <w:left w:val="nil"/>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臭和味</w:t>
                  </w:r>
                </w:p>
              </w:tc>
              <w:tc>
                <w:tcPr>
                  <w:tcW w:w="1434"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p>
              </w:tc>
              <w:tc>
                <w:tcPr>
                  <w:tcW w:w="2367" w:type="dxa"/>
                  <w:tcBorders>
                    <w:top w:val="single" w:color="000000" w:sz="4" w:space="0"/>
                    <w:left w:val="single" w:color="000000" w:sz="4" w:space="0"/>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无色无味</w:t>
                  </w:r>
                </w:p>
              </w:tc>
              <w:tc>
                <w:tcPr>
                  <w:tcW w:w="1764" w:type="dxa"/>
                  <w:tcBorders>
                    <w:top w:val="single" w:color="000000" w:sz="4" w:space="0"/>
                    <w:left w:val="single" w:color="000000" w:sz="4" w:space="0"/>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无</w:t>
                  </w:r>
                </w:p>
              </w:tc>
              <w:tc>
                <w:tcPr>
                  <w:tcW w:w="1282" w:type="dxa"/>
                  <w:tcBorders>
                    <w:top w:val="single" w:color="000000" w:sz="4" w:space="0"/>
                    <w:left w:val="single" w:color="000000" w:sz="4" w:space="0"/>
                    <w:bottom w:val="single" w:color="000000" w:sz="4" w:space="0"/>
                    <w:right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trPr>
              <w:tc>
                <w:tcPr>
                  <w:tcW w:w="1869" w:type="dxa"/>
                  <w:tcBorders>
                    <w:top w:val="single" w:color="000000" w:sz="4" w:space="0"/>
                    <w:left w:val="nil"/>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浑浊度</w:t>
                  </w:r>
                </w:p>
              </w:tc>
              <w:tc>
                <w:tcPr>
                  <w:tcW w:w="1434"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p>
              </w:tc>
              <w:tc>
                <w:tcPr>
                  <w:tcW w:w="2367" w:type="dxa"/>
                  <w:tcBorders>
                    <w:top w:val="single" w:color="000000" w:sz="4" w:space="0"/>
                    <w:left w:val="single" w:color="000000" w:sz="4" w:space="0"/>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1L</w:t>
                  </w:r>
                </w:p>
              </w:tc>
              <w:tc>
                <w:tcPr>
                  <w:tcW w:w="1764" w:type="dxa"/>
                  <w:tcBorders>
                    <w:top w:val="single" w:color="000000" w:sz="4" w:space="0"/>
                    <w:left w:val="single" w:color="000000" w:sz="4" w:space="0"/>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282" w:type="dxa"/>
                  <w:tcBorders>
                    <w:top w:val="single" w:color="000000" w:sz="4" w:space="0"/>
                    <w:left w:val="single" w:color="000000" w:sz="4" w:space="0"/>
                    <w:bottom w:val="single" w:color="000000" w:sz="4" w:space="0"/>
                    <w:right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trPr>
              <w:tc>
                <w:tcPr>
                  <w:tcW w:w="1869" w:type="dxa"/>
                  <w:tcBorders>
                    <w:top w:val="single" w:color="000000" w:sz="4" w:space="0"/>
                    <w:left w:val="nil"/>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苯(mg/L)</w:t>
                  </w:r>
                </w:p>
              </w:tc>
              <w:tc>
                <w:tcPr>
                  <w:tcW w:w="1434"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p>
              </w:tc>
              <w:tc>
                <w:tcPr>
                  <w:tcW w:w="2367" w:type="dxa"/>
                  <w:tcBorders>
                    <w:top w:val="single" w:color="000000" w:sz="4" w:space="0"/>
                    <w:left w:val="single" w:color="000000" w:sz="4" w:space="0"/>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0.005L</w:t>
                  </w:r>
                </w:p>
              </w:tc>
              <w:tc>
                <w:tcPr>
                  <w:tcW w:w="1764" w:type="dxa"/>
                  <w:tcBorders>
                    <w:top w:val="single" w:color="000000" w:sz="4" w:space="0"/>
                    <w:left w:val="single" w:color="000000" w:sz="4" w:space="0"/>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1282" w:type="dxa"/>
                  <w:tcBorders>
                    <w:top w:val="single" w:color="000000" w:sz="4" w:space="0"/>
                    <w:left w:val="single" w:color="000000" w:sz="4" w:space="0"/>
                    <w:bottom w:val="single" w:color="000000" w:sz="4" w:space="0"/>
                    <w:right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trPr>
              <w:tc>
                <w:tcPr>
                  <w:tcW w:w="1869" w:type="dxa"/>
                  <w:tcBorders>
                    <w:top w:val="single" w:color="000000" w:sz="4" w:space="0"/>
                    <w:left w:val="nil"/>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甲苯(mg/L)</w:t>
                  </w:r>
                </w:p>
              </w:tc>
              <w:tc>
                <w:tcPr>
                  <w:tcW w:w="1434"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p>
              </w:tc>
              <w:tc>
                <w:tcPr>
                  <w:tcW w:w="2367" w:type="dxa"/>
                  <w:tcBorders>
                    <w:top w:val="single" w:color="000000" w:sz="4" w:space="0"/>
                    <w:left w:val="single" w:color="000000" w:sz="4" w:space="0"/>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0.006L</w:t>
                  </w:r>
                </w:p>
              </w:tc>
              <w:tc>
                <w:tcPr>
                  <w:tcW w:w="1764" w:type="dxa"/>
                  <w:tcBorders>
                    <w:top w:val="single" w:color="000000" w:sz="4" w:space="0"/>
                    <w:left w:val="single" w:color="000000" w:sz="4" w:space="0"/>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w:t>
                  </w:r>
                </w:p>
              </w:tc>
              <w:tc>
                <w:tcPr>
                  <w:tcW w:w="1282" w:type="dxa"/>
                  <w:tcBorders>
                    <w:top w:val="single" w:color="000000" w:sz="4" w:space="0"/>
                    <w:left w:val="single" w:color="000000" w:sz="4" w:space="0"/>
                    <w:bottom w:val="single" w:color="000000" w:sz="4" w:space="0"/>
                    <w:right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trPr>
              <w:tc>
                <w:tcPr>
                  <w:tcW w:w="1869" w:type="dxa"/>
                  <w:tcBorders>
                    <w:top w:val="single" w:color="000000" w:sz="4" w:space="0"/>
                    <w:left w:val="nil"/>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乙苯(mg/L)</w:t>
                  </w:r>
                </w:p>
              </w:tc>
              <w:tc>
                <w:tcPr>
                  <w:tcW w:w="1434"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p>
              </w:tc>
              <w:tc>
                <w:tcPr>
                  <w:tcW w:w="2367" w:type="dxa"/>
                  <w:tcBorders>
                    <w:top w:val="single" w:color="000000" w:sz="4" w:space="0"/>
                    <w:left w:val="single" w:color="000000" w:sz="4" w:space="0"/>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0.006L</w:t>
                  </w:r>
                </w:p>
              </w:tc>
              <w:tc>
                <w:tcPr>
                  <w:tcW w:w="1764" w:type="dxa"/>
                  <w:tcBorders>
                    <w:top w:val="single" w:color="000000" w:sz="4" w:space="0"/>
                    <w:left w:val="single" w:color="000000" w:sz="4" w:space="0"/>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1282" w:type="dxa"/>
                  <w:tcBorders>
                    <w:top w:val="single" w:color="000000" w:sz="4" w:space="0"/>
                    <w:left w:val="single" w:color="000000" w:sz="4" w:space="0"/>
                    <w:bottom w:val="single" w:color="000000" w:sz="4" w:space="0"/>
                    <w:right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6" w:hRule="atLeast"/>
              </w:trPr>
              <w:tc>
                <w:tcPr>
                  <w:tcW w:w="1869" w:type="dxa"/>
                  <w:tcBorders>
                    <w:top w:val="single" w:color="000000" w:sz="4" w:space="0"/>
                    <w:left w:val="nil"/>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邻二甲苯(mg/L)</w:t>
                  </w:r>
                </w:p>
              </w:tc>
              <w:tc>
                <w:tcPr>
                  <w:tcW w:w="1434"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p>
              </w:tc>
              <w:tc>
                <w:tcPr>
                  <w:tcW w:w="2367" w:type="dxa"/>
                  <w:tcBorders>
                    <w:top w:val="single" w:color="000000" w:sz="4" w:space="0"/>
                    <w:left w:val="single" w:color="000000" w:sz="4" w:space="0"/>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0.006L</w:t>
                  </w:r>
                </w:p>
              </w:tc>
              <w:tc>
                <w:tcPr>
                  <w:tcW w:w="1764" w:type="dxa"/>
                  <w:vMerge w:val="restart"/>
                  <w:tcBorders>
                    <w:top w:val="single" w:color="000000" w:sz="4" w:space="0"/>
                    <w:left w:val="single" w:color="000000" w:sz="4" w:space="0"/>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1282" w:type="dxa"/>
                  <w:vMerge w:val="restart"/>
                  <w:tcBorders>
                    <w:top w:val="single" w:color="000000" w:sz="4" w:space="0"/>
                    <w:left w:val="single" w:color="000000" w:sz="4" w:space="0"/>
                    <w:bottom w:val="single" w:color="000000" w:sz="4" w:space="0"/>
                    <w:right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trPr>
              <w:tc>
                <w:tcPr>
                  <w:tcW w:w="1869" w:type="dxa"/>
                  <w:tcBorders>
                    <w:top w:val="single" w:color="000000" w:sz="4" w:space="0"/>
                    <w:left w:val="nil"/>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间（对）二甲苯</w:t>
                  </w:r>
                </w:p>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34"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p>
              </w:tc>
              <w:tc>
                <w:tcPr>
                  <w:tcW w:w="2367" w:type="dxa"/>
                  <w:tcBorders>
                    <w:top w:val="single" w:color="000000" w:sz="4" w:space="0"/>
                    <w:left w:val="single" w:color="000000" w:sz="4" w:space="0"/>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0.006L</w:t>
                  </w:r>
                </w:p>
              </w:tc>
              <w:tc>
                <w:tcPr>
                  <w:tcW w:w="1764"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p>
              </w:tc>
              <w:tc>
                <w:tcPr>
                  <w:tcW w:w="1282" w:type="dxa"/>
                  <w:vMerge w:val="continue"/>
                  <w:tcBorders>
                    <w:top w:val="nil"/>
                    <w:left w:val="single" w:color="000000" w:sz="4" w:space="0"/>
                    <w:bottom w:val="single" w:color="000000" w:sz="4" w:space="0"/>
                    <w:right w:val="nil"/>
                  </w:tcBorders>
                  <w:vAlign w:val="center"/>
                </w:tcPr>
                <w:p>
                  <w:pPr>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trPr>
              <w:tc>
                <w:tcPr>
                  <w:tcW w:w="1869" w:type="dxa"/>
                  <w:tcBorders>
                    <w:top w:val="single" w:color="000000" w:sz="4" w:space="0"/>
                    <w:left w:val="nil"/>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石油类(mg/L)</w:t>
                  </w:r>
                </w:p>
              </w:tc>
              <w:tc>
                <w:tcPr>
                  <w:tcW w:w="1434"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p>
              </w:tc>
              <w:tc>
                <w:tcPr>
                  <w:tcW w:w="2367" w:type="dxa"/>
                  <w:tcBorders>
                    <w:top w:val="single" w:color="000000" w:sz="4" w:space="0"/>
                    <w:left w:val="single" w:color="000000" w:sz="4" w:space="0"/>
                    <w:bottom w:val="single" w:color="000000" w:sz="4" w:space="0"/>
                    <w:right w:val="single" w:color="000000" w:sz="4" w:space="0"/>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3.46</w:t>
                  </w:r>
                </w:p>
              </w:tc>
              <w:tc>
                <w:tcPr>
                  <w:tcW w:w="1764"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p>
              </w:tc>
              <w:tc>
                <w:tcPr>
                  <w:tcW w:w="1282" w:type="dxa"/>
                  <w:vMerge w:val="continue"/>
                  <w:tcBorders>
                    <w:top w:val="nil"/>
                    <w:left w:val="single" w:color="000000" w:sz="4" w:space="0"/>
                    <w:bottom w:val="single" w:color="000000" w:sz="4" w:space="0"/>
                    <w:right w:val="nil"/>
                  </w:tcBorders>
                  <w:vAlign w:val="center"/>
                </w:tcPr>
                <w:p>
                  <w:pPr>
                    <w:keepNext w:val="0"/>
                    <w:keepLines w:val="0"/>
                    <w:pageBreakBefore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color w:val="auto"/>
                      <w:sz w:val="21"/>
                      <w:szCs w:val="21"/>
                    </w:rPr>
                  </w:pPr>
                </w:p>
              </w:tc>
            </w:tr>
          </w:tbl>
          <w:p>
            <w:pPr>
              <w:keepNext w:val="0"/>
              <w:keepLines w:val="0"/>
              <w:pageBreakBefore w:val="0"/>
              <w:widowControl w:val="0"/>
              <w:kinsoku/>
              <w:wordWrap/>
              <w:overflowPunct/>
              <w:topLinePunct w:val="0"/>
              <w:autoSpaceDE/>
              <w:autoSpaceDN/>
              <w:bidi w:val="0"/>
              <w:adjustRightInd/>
              <w:snapToGrid/>
              <w:ind w:firstLine="512" w:firstLineChars="200"/>
              <w:textAlignment w:val="auto"/>
              <w:rPr>
                <w:rFonts w:hint="default" w:ascii="Times New Roman" w:hAnsi="Times New Roman" w:eastAsia="黑体" w:cs="Times New Roman"/>
                <w:color w:val="auto"/>
                <w:sz w:val="24"/>
                <w:szCs w:val="32"/>
                <w:lang w:val="en-US" w:eastAsia="zh-CN"/>
              </w:rPr>
            </w:pPr>
            <w:r>
              <w:rPr>
                <w:rFonts w:hint="default" w:ascii="Times New Roman" w:hAnsi="Times New Roman" w:eastAsia="宋体" w:cs="Times New Roman"/>
                <w:color w:val="auto"/>
                <w:sz w:val="24"/>
                <w:szCs w:val="24"/>
                <w:lang w:val="en-US" w:eastAsia="zh-CN"/>
              </w:rPr>
              <w:t>由监测结果可知：检测期间，</w:t>
            </w:r>
            <w:r>
              <w:rPr>
                <w:rFonts w:hint="eastAsia" w:cs="Times New Roman"/>
                <w:color w:val="auto"/>
                <w:sz w:val="24"/>
                <w:szCs w:val="24"/>
                <w:lang w:val="en-US" w:eastAsia="zh-CN"/>
              </w:rPr>
              <w:t>项目区域</w:t>
            </w:r>
            <w:r>
              <w:rPr>
                <w:rFonts w:hint="default" w:ascii="Times New Roman" w:hAnsi="Times New Roman" w:eastAsia="宋体" w:cs="Times New Roman"/>
                <w:color w:val="auto"/>
                <w:sz w:val="24"/>
                <w:szCs w:val="24"/>
                <w:lang w:val="en-US" w:eastAsia="zh-CN"/>
              </w:rPr>
              <w:t>地下水检测结果符合《地下水质量标准》（GB14848-2017）Ⅲ类标准限值要求。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0" w:type="dxa"/>
            <w:vAlign w:val="center"/>
          </w:tcPr>
          <w:p>
            <w:pPr>
              <w:adjustRightInd w:val="0"/>
              <w:snapToGrid w:val="0"/>
              <w:jc w:val="center"/>
              <w:rPr>
                <w:b/>
                <w:bCs/>
                <w:color w:val="auto"/>
                <w:kern w:val="0"/>
                <w:sz w:val="24"/>
                <w:szCs w:val="21"/>
              </w:rPr>
            </w:pPr>
            <w:r>
              <w:rPr>
                <w:b/>
                <w:bCs/>
                <w:color w:val="auto"/>
                <w:kern w:val="0"/>
                <w:sz w:val="24"/>
                <w:szCs w:val="21"/>
              </w:rPr>
              <w:t>环境</w:t>
            </w:r>
          </w:p>
          <w:p>
            <w:pPr>
              <w:adjustRightInd w:val="0"/>
              <w:snapToGrid w:val="0"/>
              <w:jc w:val="center"/>
              <w:rPr>
                <w:b/>
                <w:bCs/>
                <w:color w:val="auto"/>
                <w:kern w:val="0"/>
                <w:sz w:val="24"/>
                <w:szCs w:val="21"/>
              </w:rPr>
            </w:pPr>
            <w:r>
              <w:rPr>
                <w:b/>
                <w:bCs/>
                <w:color w:val="auto"/>
                <w:kern w:val="0"/>
                <w:sz w:val="24"/>
                <w:szCs w:val="21"/>
              </w:rPr>
              <w:t>保护</w:t>
            </w:r>
          </w:p>
          <w:p>
            <w:pPr>
              <w:adjustRightInd w:val="0"/>
              <w:snapToGrid w:val="0"/>
              <w:jc w:val="center"/>
              <w:rPr>
                <w:color w:val="auto"/>
                <w:kern w:val="0"/>
                <w:szCs w:val="21"/>
              </w:rPr>
            </w:pPr>
            <w:r>
              <w:rPr>
                <w:b/>
                <w:bCs/>
                <w:color w:val="auto"/>
                <w:kern w:val="0"/>
                <w:sz w:val="24"/>
                <w:szCs w:val="21"/>
              </w:rPr>
              <w:t>目标</w:t>
            </w:r>
          </w:p>
        </w:tc>
        <w:tc>
          <w:tcPr>
            <w:tcW w:w="8983" w:type="dxa"/>
            <w:vAlign w:val="center"/>
          </w:tcPr>
          <w:p>
            <w:pPr>
              <w:pStyle w:val="12"/>
              <w:rPr>
                <w:rFonts w:eastAsia="黑体"/>
                <w:color w:val="auto"/>
                <w:kern w:val="2"/>
                <w:szCs w:val="24"/>
              </w:rPr>
            </w:pPr>
            <w:r>
              <w:rPr>
                <w:rFonts w:eastAsia="黑体"/>
                <w:color w:val="auto"/>
                <w:kern w:val="2"/>
                <w:szCs w:val="24"/>
              </w:rPr>
              <w:t>1</w:t>
            </w:r>
            <w:r>
              <w:rPr>
                <w:rFonts w:hint="eastAsia" w:eastAsia="黑体"/>
                <w:color w:val="auto"/>
                <w:kern w:val="2"/>
                <w:szCs w:val="24"/>
              </w:rPr>
              <w:t>项目周边概况</w:t>
            </w:r>
          </w:p>
          <w:p>
            <w:pPr>
              <w:pStyle w:val="43"/>
              <w:ind w:firstLine="514"/>
              <w:rPr>
                <w:rFonts w:hint="eastAsia"/>
                <w:color w:val="auto"/>
              </w:rPr>
            </w:pPr>
            <w:r>
              <w:rPr>
                <w:rFonts w:hint="eastAsia"/>
                <w:color w:val="auto"/>
              </w:rPr>
              <w:t>根据《建设项目环境影响报告表编制技术指南污染影响类》（试行）环境保护目标：</w:t>
            </w:r>
          </w:p>
          <w:p>
            <w:pPr>
              <w:keepNext w:val="0"/>
              <w:keepLines w:val="0"/>
              <w:widowControl/>
              <w:suppressLineNumbers w:val="0"/>
              <w:ind w:firstLine="512" w:firstLineChars="200"/>
              <w:jc w:val="left"/>
              <w:rPr>
                <w:rFonts w:hint="eastAsia" w:cs="Times New Roman"/>
                <w:color w:val="auto"/>
                <w:sz w:val="24"/>
                <w:szCs w:val="24"/>
                <w:lang w:eastAsia="zh-CN"/>
              </w:rPr>
            </w:pPr>
            <w:r>
              <w:rPr>
                <w:rFonts w:hint="default" w:ascii="Times New Roman" w:hAnsi="Times New Roman" w:cs="Times New Roman"/>
                <w:color w:val="auto"/>
                <w:sz w:val="24"/>
                <w:szCs w:val="24"/>
              </w:rPr>
              <w:t>①大气环境，厂界外500m范围内的自然保护区、风景名胜、居住区、文化区和农村地区中人群较集中的区域等</w:t>
            </w:r>
            <w:r>
              <w:rPr>
                <w:rFonts w:hint="eastAsia" w:cs="Times New Roman"/>
                <w:color w:val="auto"/>
                <w:sz w:val="24"/>
                <w:szCs w:val="24"/>
                <w:lang w:eastAsia="zh-CN"/>
              </w:rPr>
              <w:t>。</w:t>
            </w:r>
          </w:p>
          <w:p>
            <w:pPr>
              <w:keepNext w:val="0"/>
              <w:keepLines w:val="0"/>
              <w:widowControl/>
              <w:suppressLineNumbers w:val="0"/>
              <w:ind w:firstLine="512" w:firstLineChars="200"/>
              <w:jc w:val="left"/>
              <w:rPr>
                <w:rFonts w:hint="default" w:ascii="Times New Roman" w:hAnsi="Times New Roman" w:eastAsia="宋体" w:cs="Times New Roman"/>
                <w:color w:val="auto"/>
                <w:kern w:val="0"/>
                <w:sz w:val="24"/>
                <w:szCs w:val="24"/>
                <w:lang w:val="en-US" w:eastAsia="zh-CN" w:bidi="ar"/>
              </w:rPr>
            </w:pPr>
            <w:r>
              <w:rPr>
                <w:rFonts w:hint="eastAsia" w:cs="Times New Roman"/>
                <w:color w:val="auto"/>
                <w:sz w:val="24"/>
                <w:szCs w:val="24"/>
                <w:lang w:val="en-US" w:eastAsia="zh-CN"/>
              </w:rPr>
              <w:t>本项目</w:t>
            </w:r>
            <w:r>
              <w:rPr>
                <w:rFonts w:hint="default" w:ascii="Times New Roman" w:hAnsi="Times New Roman" w:eastAsia="宋体" w:cs="Times New Roman"/>
                <w:color w:val="auto"/>
                <w:kern w:val="0"/>
                <w:sz w:val="24"/>
                <w:szCs w:val="24"/>
                <w:lang w:val="en-US" w:eastAsia="zh-CN" w:bidi="ar"/>
              </w:rPr>
              <w:t>大气环境保护目标</w:t>
            </w:r>
            <w:r>
              <w:rPr>
                <w:rFonts w:hint="eastAsia" w:cs="Times New Roman"/>
                <w:color w:val="auto"/>
                <w:kern w:val="0"/>
                <w:sz w:val="24"/>
                <w:szCs w:val="24"/>
                <w:lang w:val="en-US" w:eastAsia="zh-CN" w:bidi="ar"/>
              </w:rPr>
              <w:t>见下表</w:t>
            </w:r>
            <w:r>
              <w:rPr>
                <w:rFonts w:hint="default" w:ascii="Times New Roman" w:hAnsi="Times New Roman" w:eastAsia="宋体" w:cs="Times New Roman"/>
                <w:color w:val="auto"/>
                <w:kern w:val="0"/>
                <w:sz w:val="24"/>
                <w:szCs w:val="24"/>
                <w:lang w:val="en-US" w:eastAsia="zh-CN" w:bidi="ar"/>
              </w:rPr>
              <w:t>。</w:t>
            </w:r>
          </w:p>
          <w:p>
            <w:pPr>
              <w:pStyle w:val="55"/>
              <w:rPr>
                <w:rFonts w:hint="default" w:cs="Times New Roman"/>
                <w:color w:val="auto"/>
                <w:lang w:val="en-US" w:eastAsia="zh-CN"/>
              </w:rPr>
            </w:pPr>
            <w:r>
              <w:rPr>
                <w:rFonts w:hint="default" w:cs="Times New Roman"/>
                <w:color w:val="auto"/>
                <w:lang w:val="en-US" w:eastAsia="zh-CN"/>
              </w:rPr>
              <w:t>表3-</w:t>
            </w:r>
            <w:r>
              <w:rPr>
                <w:rFonts w:hint="eastAsia" w:cs="Times New Roman"/>
                <w:color w:val="auto"/>
                <w:lang w:val="en-US" w:eastAsia="zh-CN"/>
              </w:rPr>
              <w:t xml:space="preserve">4  </w:t>
            </w:r>
            <w:r>
              <w:rPr>
                <w:rFonts w:hint="default" w:cs="Times New Roman"/>
                <w:color w:val="auto"/>
                <w:lang w:val="en-US" w:eastAsia="zh-CN"/>
              </w:rPr>
              <w:t>大气环境保护目标一览表</w:t>
            </w:r>
          </w:p>
          <w:tbl>
            <w:tblPr>
              <w:tblStyle w:val="27"/>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55"/>
              <w:gridCol w:w="1644"/>
              <w:gridCol w:w="2648"/>
              <w:gridCol w:w="27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92" w:type="pct"/>
                  <w:tcBorders>
                    <w:tl2br w:val="nil"/>
                    <w:tr2bl w:val="nil"/>
                  </w:tcBorders>
                  <w:vAlign w:val="center"/>
                </w:tcPr>
                <w:p>
                  <w:pPr>
                    <w:pStyle w:val="2"/>
                    <w:keepNext w:val="0"/>
                    <w:keepLines w:val="0"/>
                    <w:pageBreakBefore w:val="0"/>
                    <w:kinsoku/>
                    <w:wordWrap/>
                    <w:overflowPunct/>
                    <w:topLinePunct w:val="0"/>
                    <w:autoSpaceDE/>
                    <w:autoSpaceDN/>
                    <w:bidi w:val="0"/>
                    <w:adjustRightInd/>
                    <w:snapToGrid w:val="0"/>
                    <w:spacing w:after="0"/>
                    <w:ind w:left="0" w:leftChars="0"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rPr>
                    <w:t>名称</w:t>
                  </w:r>
                </w:p>
              </w:tc>
              <w:tc>
                <w:tcPr>
                  <w:tcW w:w="918" w:type="pct"/>
                  <w:tcBorders>
                    <w:tl2br w:val="nil"/>
                    <w:tr2bl w:val="nil"/>
                  </w:tcBorders>
                  <w:vAlign w:val="center"/>
                </w:tcPr>
                <w:p>
                  <w:pPr>
                    <w:pStyle w:val="2"/>
                    <w:keepNext w:val="0"/>
                    <w:keepLines w:val="0"/>
                    <w:pageBreakBefore w:val="0"/>
                    <w:kinsoku/>
                    <w:wordWrap/>
                    <w:overflowPunct/>
                    <w:topLinePunct w:val="0"/>
                    <w:autoSpaceDE/>
                    <w:autoSpaceDN/>
                    <w:bidi w:val="0"/>
                    <w:adjustRightInd/>
                    <w:snapToGrid w:val="0"/>
                    <w:spacing w:after="0"/>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sz w:val="21"/>
                      <w:szCs w:val="21"/>
                      <w:lang w:val="en-US" w:eastAsia="zh-CN"/>
                    </w:rPr>
                    <w:t>类别</w:t>
                  </w:r>
                </w:p>
              </w:tc>
              <w:tc>
                <w:tcPr>
                  <w:tcW w:w="147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firstLine="0" w:firstLineChars="0"/>
                    <w:jc w:val="center"/>
                    <w:textAlignment w:val="auto"/>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sz w:val="21"/>
                      <w:szCs w:val="21"/>
                      <w:vertAlign w:val="baseline"/>
                    </w:rPr>
                    <w:t>相对厂址方位</w:t>
                  </w:r>
                </w:p>
              </w:tc>
              <w:tc>
                <w:tcPr>
                  <w:tcW w:w="1510" w:type="pct"/>
                  <w:tcBorders>
                    <w:tl2br w:val="nil"/>
                    <w:tr2bl w:val="nil"/>
                  </w:tcBorders>
                  <w:vAlign w:val="center"/>
                </w:tcPr>
                <w:p>
                  <w:pPr>
                    <w:pStyle w:val="2"/>
                    <w:keepNext w:val="0"/>
                    <w:keepLines w:val="0"/>
                    <w:pageBreakBefore w:val="0"/>
                    <w:kinsoku/>
                    <w:wordWrap/>
                    <w:overflowPunct/>
                    <w:topLinePunct w:val="0"/>
                    <w:autoSpaceDE/>
                    <w:autoSpaceDN/>
                    <w:bidi w:val="0"/>
                    <w:adjustRightInd/>
                    <w:snapToGrid w:val="0"/>
                    <w:spacing w:after="0"/>
                    <w:ind w:left="0" w:leftChars="0"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rPr>
                    <w:t>相对厂界距离（m）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92" w:type="pct"/>
                  <w:tcBorders>
                    <w:tl2br w:val="nil"/>
                    <w:tr2bl w:val="nil"/>
                  </w:tcBorders>
                  <w:vAlign w:val="center"/>
                </w:tcPr>
                <w:p>
                  <w:pPr>
                    <w:pStyle w:val="2"/>
                    <w:keepNext w:val="0"/>
                    <w:keepLines w:val="0"/>
                    <w:pageBreakBefore w:val="0"/>
                    <w:kinsoku/>
                    <w:wordWrap/>
                    <w:overflowPunct/>
                    <w:topLinePunct w:val="0"/>
                    <w:autoSpaceDE/>
                    <w:autoSpaceDN/>
                    <w:bidi w:val="0"/>
                    <w:adjustRightInd/>
                    <w:snapToGrid w:val="0"/>
                    <w:spacing w:after="0"/>
                    <w:ind w:left="0" w:leftChars="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中宁县第五中学</w:t>
                  </w:r>
                </w:p>
              </w:tc>
              <w:tc>
                <w:tcPr>
                  <w:tcW w:w="918" w:type="pct"/>
                  <w:tcBorders>
                    <w:tl2br w:val="nil"/>
                    <w:tr2bl w:val="nil"/>
                  </w:tcBorders>
                  <w:vAlign w:val="center"/>
                </w:tcPr>
                <w:p>
                  <w:pPr>
                    <w:pStyle w:val="2"/>
                    <w:keepNext w:val="0"/>
                    <w:keepLines w:val="0"/>
                    <w:pageBreakBefore w:val="0"/>
                    <w:kinsoku/>
                    <w:wordWrap/>
                    <w:overflowPunct/>
                    <w:topLinePunct w:val="0"/>
                    <w:autoSpaceDE/>
                    <w:autoSpaceDN/>
                    <w:bidi w:val="0"/>
                    <w:adjustRightInd/>
                    <w:snapToGrid w:val="0"/>
                    <w:spacing w:after="0"/>
                    <w:ind w:left="0" w:leftChars="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文化区</w:t>
                  </w:r>
                </w:p>
              </w:tc>
              <w:tc>
                <w:tcPr>
                  <w:tcW w:w="1479" w:type="pct"/>
                  <w:tcBorders>
                    <w:tl2br w:val="nil"/>
                    <w:tr2bl w:val="nil"/>
                  </w:tcBorders>
                  <w:vAlign w:val="center"/>
                </w:tcPr>
                <w:p>
                  <w:pPr>
                    <w:pStyle w:val="2"/>
                    <w:keepNext w:val="0"/>
                    <w:keepLines w:val="0"/>
                    <w:pageBreakBefore w:val="0"/>
                    <w:kinsoku/>
                    <w:wordWrap/>
                    <w:overflowPunct/>
                    <w:topLinePunct w:val="0"/>
                    <w:autoSpaceDE/>
                    <w:autoSpaceDN/>
                    <w:bidi w:val="0"/>
                    <w:adjustRightInd/>
                    <w:snapToGrid w:val="0"/>
                    <w:spacing w:after="0"/>
                    <w:ind w:left="0" w:leftChars="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东北</w:t>
                  </w:r>
                </w:p>
              </w:tc>
              <w:tc>
                <w:tcPr>
                  <w:tcW w:w="1510" w:type="pct"/>
                  <w:tcBorders>
                    <w:tl2br w:val="nil"/>
                    <w:tr2bl w:val="nil"/>
                  </w:tcBorders>
                  <w:vAlign w:val="center"/>
                </w:tcPr>
                <w:p>
                  <w:pPr>
                    <w:pStyle w:val="2"/>
                    <w:keepNext w:val="0"/>
                    <w:keepLines w:val="0"/>
                    <w:pageBreakBefore w:val="0"/>
                    <w:kinsoku/>
                    <w:wordWrap/>
                    <w:overflowPunct/>
                    <w:topLinePunct w:val="0"/>
                    <w:autoSpaceDE/>
                    <w:autoSpaceDN/>
                    <w:bidi w:val="0"/>
                    <w:adjustRightInd/>
                    <w:snapToGrid w:val="0"/>
                    <w:spacing w:after="0"/>
                    <w:ind w:left="0" w:leftChars="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92" w:type="pct"/>
                  <w:tcBorders>
                    <w:tl2br w:val="nil"/>
                    <w:tr2bl w:val="nil"/>
                  </w:tcBorders>
                  <w:vAlign w:val="center"/>
                </w:tcPr>
                <w:p>
                  <w:pPr>
                    <w:pStyle w:val="2"/>
                    <w:keepNext w:val="0"/>
                    <w:keepLines w:val="0"/>
                    <w:pageBreakBefore w:val="0"/>
                    <w:kinsoku/>
                    <w:wordWrap/>
                    <w:overflowPunct/>
                    <w:topLinePunct w:val="0"/>
                    <w:autoSpaceDE/>
                    <w:autoSpaceDN/>
                    <w:bidi w:val="0"/>
                    <w:adjustRightInd/>
                    <w:snapToGrid w:val="0"/>
                    <w:spacing w:after="0"/>
                    <w:ind w:left="0" w:leftChars="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中宁县体育公园</w:t>
                  </w:r>
                </w:p>
              </w:tc>
              <w:tc>
                <w:tcPr>
                  <w:tcW w:w="918" w:type="pct"/>
                  <w:tcBorders>
                    <w:tl2br w:val="nil"/>
                    <w:tr2bl w:val="nil"/>
                  </w:tcBorders>
                  <w:vAlign w:val="center"/>
                </w:tcPr>
                <w:p>
                  <w:pPr>
                    <w:pStyle w:val="2"/>
                    <w:keepNext w:val="0"/>
                    <w:keepLines w:val="0"/>
                    <w:pageBreakBefore w:val="0"/>
                    <w:kinsoku/>
                    <w:wordWrap/>
                    <w:overflowPunct/>
                    <w:topLinePunct w:val="0"/>
                    <w:autoSpaceDE/>
                    <w:autoSpaceDN/>
                    <w:bidi w:val="0"/>
                    <w:adjustRightInd/>
                    <w:snapToGrid w:val="0"/>
                    <w:spacing w:after="0"/>
                    <w:ind w:left="0" w:leftChars="0"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文化区</w:t>
                  </w:r>
                </w:p>
              </w:tc>
              <w:tc>
                <w:tcPr>
                  <w:tcW w:w="1479" w:type="pct"/>
                  <w:tcBorders>
                    <w:tl2br w:val="nil"/>
                    <w:tr2bl w:val="nil"/>
                  </w:tcBorders>
                  <w:vAlign w:val="center"/>
                </w:tcPr>
                <w:p>
                  <w:pPr>
                    <w:pStyle w:val="2"/>
                    <w:keepNext w:val="0"/>
                    <w:keepLines w:val="0"/>
                    <w:pageBreakBefore w:val="0"/>
                    <w:kinsoku/>
                    <w:wordWrap/>
                    <w:overflowPunct/>
                    <w:topLinePunct w:val="0"/>
                    <w:autoSpaceDE/>
                    <w:autoSpaceDN/>
                    <w:bidi w:val="0"/>
                    <w:adjustRightInd/>
                    <w:snapToGrid w:val="0"/>
                    <w:spacing w:after="0"/>
                    <w:ind w:left="0" w:leftChars="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西南</w:t>
                  </w:r>
                </w:p>
              </w:tc>
              <w:tc>
                <w:tcPr>
                  <w:tcW w:w="1510" w:type="pct"/>
                  <w:tcBorders>
                    <w:tl2br w:val="nil"/>
                    <w:tr2bl w:val="nil"/>
                  </w:tcBorders>
                  <w:vAlign w:val="center"/>
                </w:tcPr>
                <w:p>
                  <w:pPr>
                    <w:pStyle w:val="2"/>
                    <w:keepNext w:val="0"/>
                    <w:keepLines w:val="0"/>
                    <w:pageBreakBefore w:val="0"/>
                    <w:kinsoku/>
                    <w:wordWrap/>
                    <w:overflowPunct/>
                    <w:topLinePunct w:val="0"/>
                    <w:autoSpaceDE/>
                    <w:autoSpaceDN/>
                    <w:bidi w:val="0"/>
                    <w:adjustRightInd/>
                    <w:snapToGrid w:val="0"/>
                    <w:spacing w:after="0"/>
                    <w:ind w:left="0" w:leftChars="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92" w:type="pct"/>
                  <w:tcBorders>
                    <w:tl2br w:val="nil"/>
                    <w:tr2bl w:val="nil"/>
                  </w:tcBorders>
                  <w:vAlign w:val="center"/>
                </w:tcPr>
                <w:p>
                  <w:pPr>
                    <w:pStyle w:val="2"/>
                    <w:keepNext w:val="0"/>
                    <w:keepLines w:val="0"/>
                    <w:pageBreakBefore w:val="0"/>
                    <w:kinsoku/>
                    <w:wordWrap/>
                    <w:overflowPunct/>
                    <w:topLinePunct w:val="0"/>
                    <w:autoSpaceDE/>
                    <w:autoSpaceDN/>
                    <w:bidi w:val="0"/>
                    <w:adjustRightInd/>
                    <w:snapToGrid w:val="0"/>
                    <w:spacing w:after="0"/>
                    <w:ind w:left="0" w:leftChars="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宋营村</w:t>
                  </w:r>
                </w:p>
              </w:tc>
              <w:tc>
                <w:tcPr>
                  <w:tcW w:w="918" w:type="pct"/>
                  <w:tcBorders>
                    <w:tl2br w:val="nil"/>
                    <w:tr2bl w:val="nil"/>
                  </w:tcBorders>
                  <w:vAlign w:val="center"/>
                </w:tcPr>
                <w:p>
                  <w:pPr>
                    <w:pStyle w:val="2"/>
                    <w:keepNext w:val="0"/>
                    <w:keepLines w:val="0"/>
                    <w:pageBreakBefore w:val="0"/>
                    <w:kinsoku/>
                    <w:wordWrap/>
                    <w:overflowPunct/>
                    <w:topLinePunct w:val="0"/>
                    <w:autoSpaceDE/>
                    <w:autoSpaceDN/>
                    <w:bidi w:val="0"/>
                    <w:adjustRightInd/>
                    <w:snapToGrid w:val="0"/>
                    <w:spacing w:after="0"/>
                    <w:ind w:left="0" w:leftChars="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居住区</w:t>
                  </w:r>
                </w:p>
              </w:tc>
              <w:tc>
                <w:tcPr>
                  <w:tcW w:w="1479" w:type="pct"/>
                  <w:tcBorders>
                    <w:tl2br w:val="nil"/>
                    <w:tr2bl w:val="nil"/>
                  </w:tcBorders>
                  <w:vAlign w:val="center"/>
                </w:tcPr>
                <w:p>
                  <w:pPr>
                    <w:pStyle w:val="2"/>
                    <w:keepNext w:val="0"/>
                    <w:keepLines w:val="0"/>
                    <w:pageBreakBefore w:val="0"/>
                    <w:kinsoku/>
                    <w:wordWrap/>
                    <w:overflowPunct/>
                    <w:topLinePunct w:val="0"/>
                    <w:autoSpaceDE/>
                    <w:autoSpaceDN/>
                    <w:bidi w:val="0"/>
                    <w:adjustRightInd/>
                    <w:snapToGrid w:val="0"/>
                    <w:spacing w:after="0"/>
                    <w:ind w:left="0" w:leftChars="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北</w:t>
                  </w:r>
                </w:p>
              </w:tc>
              <w:tc>
                <w:tcPr>
                  <w:tcW w:w="1510" w:type="pct"/>
                  <w:tcBorders>
                    <w:tl2br w:val="nil"/>
                    <w:tr2bl w:val="nil"/>
                  </w:tcBorders>
                  <w:vAlign w:val="center"/>
                </w:tcPr>
                <w:p>
                  <w:pPr>
                    <w:pStyle w:val="2"/>
                    <w:keepNext w:val="0"/>
                    <w:keepLines w:val="0"/>
                    <w:pageBreakBefore w:val="0"/>
                    <w:kinsoku/>
                    <w:wordWrap/>
                    <w:overflowPunct/>
                    <w:topLinePunct w:val="0"/>
                    <w:autoSpaceDE/>
                    <w:autoSpaceDN/>
                    <w:bidi w:val="0"/>
                    <w:adjustRightInd/>
                    <w:snapToGrid w:val="0"/>
                    <w:spacing w:after="0"/>
                    <w:ind w:left="0" w:leftChars="0" w:firstLine="0"/>
                    <w:jc w:val="center"/>
                    <w:textAlignment w:val="auto"/>
                    <w:rPr>
                      <w:rFonts w:hint="default" w:ascii="Times New Roman" w:hAnsi="Times New Roman" w:eastAsia="宋体" w:cs="Times New Roman"/>
                      <w:color w:val="auto"/>
                      <w:sz w:val="21"/>
                      <w:szCs w:val="21"/>
                      <w:vertAlign w:val="baseline"/>
                      <w:lang w:val="en-US"/>
                    </w:rPr>
                  </w:pPr>
                  <w:r>
                    <w:rPr>
                      <w:rFonts w:hint="default" w:ascii="Times New Roman" w:hAnsi="Times New Roman" w:eastAsia="宋体" w:cs="Times New Roman"/>
                      <w:color w:val="auto"/>
                      <w:sz w:val="21"/>
                      <w:szCs w:val="21"/>
                      <w:vertAlign w:val="baseline"/>
                      <w:lang w:val="en-US" w:eastAsia="zh-CN"/>
                    </w:rPr>
                    <w:t>380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92" w:type="pct"/>
                  <w:tcBorders>
                    <w:tl2br w:val="nil"/>
                    <w:tr2bl w:val="nil"/>
                  </w:tcBorders>
                  <w:vAlign w:val="center"/>
                </w:tcPr>
                <w:p>
                  <w:pPr>
                    <w:pStyle w:val="2"/>
                    <w:keepNext w:val="0"/>
                    <w:keepLines w:val="0"/>
                    <w:pageBreakBefore w:val="0"/>
                    <w:kinsoku/>
                    <w:wordWrap/>
                    <w:overflowPunct/>
                    <w:topLinePunct w:val="0"/>
                    <w:autoSpaceDE/>
                    <w:autoSpaceDN/>
                    <w:bidi w:val="0"/>
                    <w:adjustRightInd/>
                    <w:snapToGrid w:val="0"/>
                    <w:spacing w:after="0"/>
                    <w:ind w:left="0" w:leftChars="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周庄</w:t>
                  </w:r>
                </w:p>
              </w:tc>
              <w:tc>
                <w:tcPr>
                  <w:tcW w:w="918" w:type="pct"/>
                  <w:tcBorders>
                    <w:tl2br w:val="nil"/>
                    <w:tr2bl w:val="nil"/>
                  </w:tcBorders>
                  <w:vAlign w:val="center"/>
                </w:tcPr>
                <w:p>
                  <w:pPr>
                    <w:pStyle w:val="2"/>
                    <w:keepNext w:val="0"/>
                    <w:keepLines w:val="0"/>
                    <w:pageBreakBefore w:val="0"/>
                    <w:kinsoku/>
                    <w:wordWrap/>
                    <w:overflowPunct/>
                    <w:topLinePunct w:val="0"/>
                    <w:autoSpaceDE/>
                    <w:autoSpaceDN/>
                    <w:bidi w:val="0"/>
                    <w:adjustRightInd/>
                    <w:snapToGrid w:val="0"/>
                    <w:spacing w:after="0"/>
                    <w:ind w:left="0" w:leftChars="0"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居住区</w:t>
                  </w:r>
                </w:p>
              </w:tc>
              <w:tc>
                <w:tcPr>
                  <w:tcW w:w="1479" w:type="pct"/>
                  <w:tcBorders>
                    <w:tl2br w:val="nil"/>
                    <w:tr2bl w:val="nil"/>
                  </w:tcBorders>
                  <w:vAlign w:val="center"/>
                </w:tcPr>
                <w:p>
                  <w:pPr>
                    <w:pStyle w:val="2"/>
                    <w:keepNext w:val="0"/>
                    <w:keepLines w:val="0"/>
                    <w:pageBreakBefore w:val="0"/>
                    <w:kinsoku/>
                    <w:wordWrap/>
                    <w:overflowPunct/>
                    <w:topLinePunct w:val="0"/>
                    <w:autoSpaceDE/>
                    <w:autoSpaceDN/>
                    <w:bidi w:val="0"/>
                    <w:adjustRightInd/>
                    <w:snapToGrid w:val="0"/>
                    <w:spacing w:after="0"/>
                    <w:ind w:left="0" w:leftChars="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东</w:t>
                  </w:r>
                </w:p>
              </w:tc>
              <w:tc>
                <w:tcPr>
                  <w:tcW w:w="1510" w:type="pct"/>
                  <w:tcBorders>
                    <w:tl2br w:val="nil"/>
                    <w:tr2bl w:val="nil"/>
                  </w:tcBorders>
                  <w:vAlign w:val="center"/>
                </w:tcPr>
                <w:p>
                  <w:pPr>
                    <w:pStyle w:val="2"/>
                    <w:keepNext w:val="0"/>
                    <w:keepLines w:val="0"/>
                    <w:pageBreakBefore w:val="0"/>
                    <w:kinsoku/>
                    <w:wordWrap/>
                    <w:overflowPunct/>
                    <w:topLinePunct w:val="0"/>
                    <w:autoSpaceDE/>
                    <w:autoSpaceDN/>
                    <w:bidi w:val="0"/>
                    <w:adjustRightInd/>
                    <w:snapToGrid w:val="0"/>
                    <w:spacing w:after="0"/>
                    <w:ind w:left="0" w:leftChars="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92" w:type="pct"/>
                  <w:tcBorders>
                    <w:tl2br w:val="nil"/>
                    <w:tr2bl w:val="nil"/>
                  </w:tcBorders>
                  <w:vAlign w:val="center"/>
                </w:tcPr>
                <w:p>
                  <w:pPr>
                    <w:pStyle w:val="2"/>
                    <w:keepNext w:val="0"/>
                    <w:keepLines w:val="0"/>
                    <w:pageBreakBefore w:val="0"/>
                    <w:kinsoku/>
                    <w:wordWrap/>
                    <w:overflowPunct/>
                    <w:topLinePunct w:val="0"/>
                    <w:autoSpaceDE/>
                    <w:autoSpaceDN/>
                    <w:bidi w:val="0"/>
                    <w:adjustRightInd/>
                    <w:snapToGrid w:val="0"/>
                    <w:spacing w:after="0"/>
                    <w:ind w:left="0" w:leftChars="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刘营村</w:t>
                  </w:r>
                </w:p>
              </w:tc>
              <w:tc>
                <w:tcPr>
                  <w:tcW w:w="918" w:type="pct"/>
                  <w:tcBorders>
                    <w:tl2br w:val="nil"/>
                    <w:tr2bl w:val="nil"/>
                  </w:tcBorders>
                  <w:vAlign w:val="center"/>
                </w:tcPr>
                <w:p>
                  <w:pPr>
                    <w:pStyle w:val="2"/>
                    <w:keepNext w:val="0"/>
                    <w:keepLines w:val="0"/>
                    <w:pageBreakBefore w:val="0"/>
                    <w:kinsoku/>
                    <w:wordWrap/>
                    <w:overflowPunct/>
                    <w:topLinePunct w:val="0"/>
                    <w:autoSpaceDE/>
                    <w:autoSpaceDN/>
                    <w:bidi w:val="0"/>
                    <w:adjustRightInd/>
                    <w:snapToGrid w:val="0"/>
                    <w:spacing w:after="0"/>
                    <w:ind w:left="0" w:leftChars="0"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居住区</w:t>
                  </w:r>
                </w:p>
              </w:tc>
              <w:tc>
                <w:tcPr>
                  <w:tcW w:w="1479" w:type="pct"/>
                  <w:tcBorders>
                    <w:tl2br w:val="nil"/>
                    <w:tr2bl w:val="nil"/>
                  </w:tcBorders>
                  <w:vAlign w:val="center"/>
                </w:tcPr>
                <w:p>
                  <w:pPr>
                    <w:pStyle w:val="2"/>
                    <w:keepNext w:val="0"/>
                    <w:keepLines w:val="0"/>
                    <w:pageBreakBefore w:val="0"/>
                    <w:kinsoku/>
                    <w:wordWrap/>
                    <w:overflowPunct/>
                    <w:topLinePunct w:val="0"/>
                    <w:autoSpaceDE/>
                    <w:autoSpaceDN/>
                    <w:bidi w:val="0"/>
                    <w:adjustRightInd/>
                    <w:snapToGrid w:val="0"/>
                    <w:spacing w:after="0"/>
                    <w:ind w:left="0" w:leftChars="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东南</w:t>
                  </w:r>
                </w:p>
              </w:tc>
              <w:tc>
                <w:tcPr>
                  <w:tcW w:w="1510" w:type="pct"/>
                  <w:tcBorders>
                    <w:tl2br w:val="nil"/>
                    <w:tr2bl w:val="nil"/>
                  </w:tcBorders>
                  <w:vAlign w:val="center"/>
                </w:tcPr>
                <w:p>
                  <w:pPr>
                    <w:pStyle w:val="2"/>
                    <w:keepNext w:val="0"/>
                    <w:keepLines w:val="0"/>
                    <w:pageBreakBefore w:val="0"/>
                    <w:kinsoku/>
                    <w:wordWrap/>
                    <w:overflowPunct/>
                    <w:topLinePunct w:val="0"/>
                    <w:autoSpaceDE/>
                    <w:autoSpaceDN/>
                    <w:bidi w:val="0"/>
                    <w:adjustRightInd/>
                    <w:snapToGrid w:val="0"/>
                    <w:spacing w:after="0"/>
                    <w:ind w:left="0" w:leftChars="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92" w:type="pct"/>
                  <w:tcBorders>
                    <w:tl2br w:val="nil"/>
                    <w:tr2bl w:val="nil"/>
                  </w:tcBorders>
                  <w:vAlign w:val="center"/>
                </w:tcPr>
                <w:p>
                  <w:pPr>
                    <w:pStyle w:val="2"/>
                    <w:keepNext w:val="0"/>
                    <w:keepLines w:val="0"/>
                    <w:pageBreakBefore w:val="0"/>
                    <w:kinsoku/>
                    <w:wordWrap/>
                    <w:overflowPunct/>
                    <w:topLinePunct w:val="0"/>
                    <w:autoSpaceDE/>
                    <w:autoSpaceDN/>
                    <w:bidi w:val="0"/>
                    <w:adjustRightInd/>
                    <w:snapToGrid w:val="0"/>
                    <w:spacing w:after="0"/>
                    <w:ind w:left="0" w:leftChars="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天仁名邸</w:t>
                  </w:r>
                </w:p>
              </w:tc>
              <w:tc>
                <w:tcPr>
                  <w:tcW w:w="918" w:type="pct"/>
                  <w:tcBorders>
                    <w:tl2br w:val="nil"/>
                    <w:tr2bl w:val="nil"/>
                  </w:tcBorders>
                  <w:vAlign w:val="center"/>
                </w:tcPr>
                <w:p>
                  <w:pPr>
                    <w:pStyle w:val="2"/>
                    <w:keepNext w:val="0"/>
                    <w:keepLines w:val="0"/>
                    <w:pageBreakBefore w:val="0"/>
                    <w:kinsoku/>
                    <w:wordWrap/>
                    <w:overflowPunct/>
                    <w:topLinePunct w:val="0"/>
                    <w:autoSpaceDE/>
                    <w:autoSpaceDN/>
                    <w:bidi w:val="0"/>
                    <w:adjustRightInd/>
                    <w:snapToGrid w:val="0"/>
                    <w:spacing w:after="0"/>
                    <w:ind w:left="0" w:leftChars="0"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居住区</w:t>
                  </w:r>
                </w:p>
              </w:tc>
              <w:tc>
                <w:tcPr>
                  <w:tcW w:w="1479" w:type="pct"/>
                  <w:tcBorders>
                    <w:tl2br w:val="nil"/>
                    <w:tr2bl w:val="nil"/>
                  </w:tcBorders>
                  <w:vAlign w:val="center"/>
                </w:tcPr>
                <w:p>
                  <w:pPr>
                    <w:pStyle w:val="2"/>
                    <w:keepNext w:val="0"/>
                    <w:keepLines w:val="0"/>
                    <w:pageBreakBefore w:val="0"/>
                    <w:kinsoku/>
                    <w:wordWrap/>
                    <w:overflowPunct/>
                    <w:topLinePunct w:val="0"/>
                    <w:autoSpaceDE/>
                    <w:autoSpaceDN/>
                    <w:bidi w:val="0"/>
                    <w:adjustRightInd/>
                    <w:snapToGrid w:val="0"/>
                    <w:spacing w:after="0"/>
                    <w:ind w:left="0" w:leftChars="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西北</w:t>
                  </w:r>
                </w:p>
              </w:tc>
              <w:tc>
                <w:tcPr>
                  <w:tcW w:w="1510" w:type="pct"/>
                  <w:tcBorders>
                    <w:tl2br w:val="nil"/>
                    <w:tr2bl w:val="nil"/>
                  </w:tcBorders>
                  <w:vAlign w:val="center"/>
                </w:tcPr>
                <w:p>
                  <w:pPr>
                    <w:pStyle w:val="2"/>
                    <w:keepNext w:val="0"/>
                    <w:keepLines w:val="0"/>
                    <w:pageBreakBefore w:val="0"/>
                    <w:kinsoku/>
                    <w:wordWrap/>
                    <w:overflowPunct/>
                    <w:topLinePunct w:val="0"/>
                    <w:autoSpaceDE/>
                    <w:autoSpaceDN/>
                    <w:bidi w:val="0"/>
                    <w:adjustRightInd/>
                    <w:snapToGrid w:val="0"/>
                    <w:spacing w:after="0"/>
                    <w:ind w:left="0" w:leftChars="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500</w:t>
                  </w:r>
                </w:p>
              </w:tc>
            </w:tr>
          </w:tbl>
          <w:p>
            <w:pPr>
              <w:pStyle w:val="43"/>
              <w:ind w:left="0" w:leftChars="0" w:firstLine="512" w:firstLineChars="200"/>
              <w:rPr>
                <w:rFonts w:hint="default" w:eastAsia="宋体"/>
                <w:color w:val="auto"/>
                <w:lang w:val="en-US" w:eastAsia="zh-CN"/>
              </w:rPr>
            </w:pPr>
            <w:r>
              <w:rPr>
                <w:rFonts w:hint="eastAsia" w:ascii="宋体" w:hAnsi="宋体"/>
                <w:color w:val="auto"/>
              </w:rPr>
              <w:t>②</w:t>
            </w:r>
            <w:r>
              <w:rPr>
                <w:rFonts w:hint="eastAsia"/>
                <w:color w:val="auto"/>
              </w:rPr>
              <w:t>声环境，厂界外</w:t>
            </w:r>
            <w:r>
              <w:rPr>
                <w:color w:val="auto"/>
              </w:rPr>
              <w:t>50m</w:t>
            </w:r>
            <w:r>
              <w:rPr>
                <w:rFonts w:hint="eastAsia"/>
                <w:color w:val="auto"/>
              </w:rPr>
              <w:t>范围内声环境保护目标。</w:t>
            </w:r>
            <w:r>
              <w:rPr>
                <w:rFonts w:hint="eastAsia"/>
                <w:color w:val="auto"/>
                <w:lang w:val="en-US" w:eastAsia="zh-CN"/>
              </w:rPr>
              <w:t>本项目厂界外50m范围内均为空地，无声环境保护目标。</w:t>
            </w:r>
          </w:p>
          <w:p>
            <w:pPr>
              <w:pStyle w:val="43"/>
              <w:ind w:firstLine="514"/>
              <w:rPr>
                <w:rFonts w:hint="default" w:eastAsia="宋体"/>
                <w:color w:val="auto"/>
                <w:lang w:val="en-US" w:eastAsia="zh-CN"/>
              </w:rPr>
            </w:pPr>
            <w:r>
              <w:rPr>
                <w:rFonts w:hint="eastAsia" w:ascii="宋体" w:hAnsi="宋体"/>
                <w:color w:val="auto"/>
              </w:rPr>
              <w:t>③</w:t>
            </w:r>
            <w:r>
              <w:rPr>
                <w:rFonts w:hint="eastAsia"/>
                <w:color w:val="auto"/>
              </w:rPr>
              <w:t>地下水环境，厂界外</w:t>
            </w:r>
            <w:r>
              <w:rPr>
                <w:color w:val="auto"/>
              </w:rPr>
              <w:t>500m</w:t>
            </w:r>
            <w:r>
              <w:rPr>
                <w:rFonts w:hint="eastAsia"/>
                <w:color w:val="auto"/>
              </w:rPr>
              <w:t>范围内的地下水集中式饮用水水源和热水、矿泉水、温泉等特殊地下水资源</w:t>
            </w:r>
            <w:r>
              <w:rPr>
                <w:rFonts w:hint="eastAsia"/>
                <w:color w:val="auto"/>
                <w:lang w:eastAsia="zh-CN"/>
              </w:rPr>
              <w:t>。</w:t>
            </w:r>
            <w:r>
              <w:rPr>
                <w:rFonts w:hint="eastAsia"/>
                <w:color w:val="auto"/>
                <w:lang w:val="en-US" w:eastAsia="zh-CN"/>
              </w:rPr>
              <w:t>本项目500m范围内无集中式饮用水源。</w:t>
            </w:r>
          </w:p>
          <w:p>
            <w:pPr>
              <w:pStyle w:val="43"/>
              <w:ind w:firstLine="514"/>
              <w:rPr>
                <w:rFonts w:hint="default" w:eastAsia="宋体"/>
                <w:color w:val="auto"/>
                <w:lang w:val="en-US" w:eastAsia="zh-CN"/>
              </w:rPr>
            </w:pPr>
            <w:r>
              <w:rPr>
                <w:rFonts w:hint="eastAsia" w:ascii="宋体" w:hAnsi="宋体"/>
                <w:color w:val="auto"/>
              </w:rPr>
              <w:t>④</w:t>
            </w:r>
            <w:r>
              <w:rPr>
                <w:rFonts w:hint="eastAsia"/>
                <w:color w:val="auto"/>
                <w:kern w:val="0"/>
                <w:szCs w:val="21"/>
              </w:rPr>
              <w:t>生态环境，产业园区外建设项目新增用地，说明新增用地范围内生态环境保护目标。</w:t>
            </w:r>
            <w:r>
              <w:rPr>
                <w:rFonts w:hint="eastAsia"/>
                <w:color w:val="auto"/>
                <w:kern w:val="0"/>
                <w:szCs w:val="21"/>
                <w:lang w:val="en-US" w:eastAsia="zh-CN"/>
              </w:rPr>
              <w:t>宁夏中宁宁新实业有限公司于2018年对项目占地取得了国有建设用地使用权（不动产单元编号：640521103021GB00007W00000000），经现场踏勘，项目占地为闲置空地，占地范围内无生态环境保护目标。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0" w:type="dxa"/>
            <w:tcMar>
              <w:left w:w="28" w:type="dxa"/>
              <w:right w:w="28" w:type="dxa"/>
            </w:tcMar>
            <w:vAlign w:val="center"/>
          </w:tcPr>
          <w:p>
            <w:pPr>
              <w:adjustRightInd w:val="0"/>
              <w:snapToGrid w:val="0"/>
              <w:jc w:val="center"/>
              <w:rPr>
                <w:b/>
                <w:bCs/>
                <w:color w:val="auto"/>
                <w:kern w:val="0"/>
                <w:sz w:val="24"/>
                <w:szCs w:val="21"/>
              </w:rPr>
            </w:pPr>
            <w:r>
              <w:rPr>
                <w:b/>
                <w:bCs/>
                <w:color w:val="auto"/>
                <w:kern w:val="0"/>
                <w:sz w:val="24"/>
                <w:szCs w:val="21"/>
              </w:rPr>
              <w:t>污</w:t>
            </w:r>
          </w:p>
          <w:p>
            <w:pPr>
              <w:adjustRightInd w:val="0"/>
              <w:snapToGrid w:val="0"/>
              <w:jc w:val="center"/>
              <w:rPr>
                <w:b/>
                <w:bCs/>
                <w:color w:val="auto"/>
                <w:kern w:val="0"/>
                <w:sz w:val="24"/>
                <w:szCs w:val="21"/>
              </w:rPr>
            </w:pPr>
            <w:r>
              <w:rPr>
                <w:b/>
                <w:bCs/>
                <w:color w:val="auto"/>
                <w:kern w:val="0"/>
                <w:sz w:val="24"/>
                <w:szCs w:val="21"/>
              </w:rPr>
              <w:t>染</w:t>
            </w:r>
          </w:p>
          <w:p>
            <w:pPr>
              <w:adjustRightInd w:val="0"/>
              <w:snapToGrid w:val="0"/>
              <w:jc w:val="center"/>
              <w:rPr>
                <w:b/>
                <w:bCs/>
                <w:color w:val="auto"/>
                <w:kern w:val="0"/>
                <w:sz w:val="24"/>
                <w:szCs w:val="21"/>
              </w:rPr>
            </w:pPr>
            <w:r>
              <w:rPr>
                <w:b/>
                <w:bCs/>
                <w:color w:val="auto"/>
                <w:kern w:val="0"/>
                <w:sz w:val="24"/>
                <w:szCs w:val="21"/>
              </w:rPr>
              <w:t>物</w:t>
            </w:r>
          </w:p>
          <w:p>
            <w:pPr>
              <w:adjustRightInd w:val="0"/>
              <w:snapToGrid w:val="0"/>
              <w:jc w:val="center"/>
              <w:rPr>
                <w:b/>
                <w:bCs/>
                <w:color w:val="auto"/>
                <w:kern w:val="0"/>
                <w:sz w:val="24"/>
                <w:szCs w:val="21"/>
              </w:rPr>
            </w:pPr>
            <w:r>
              <w:rPr>
                <w:b/>
                <w:bCs/>
                <w:color w:val="auto"/>
                <w:kern w:val="0"/>
                <w:sz w:val="24"/>
                <w:szCs w:val="21"/>
              </w:rPr>
              <w:t>排</w:t>
            </w:r>
          </w:p>
          <w:p>
            <w:pPr>
              <w:adjustRightInd w:val="0"/>
              <w:snapToGrid w:val="0"/>
              <w:jc w:val="center"/>
              <w:rPr>
                <w:b/>
                <w:bCs/>
                <w:color w:val="auto"/>
                <w:kern w:val="0"/>
                <w:sz w:val="24"/>
                <w:szCs w:val="21"/>
              </w:rPr>
            </w:pPr>
            <w:r>
              <w:rPr>
                <w:b/>
                <w:bCs/>
                <w:color w:val="auto"/>
                <w:kern w:val="0"/>
                <w:sz w:val="24"/>
                <w:szCs w:val="21"/>
              </w:rPr>
              <w:t>放</w:t>
            </w:r>
          </w:p>
          <w:p>
            <w:pPr>
              <w:adjustRightInd w:val="0"/>
              <w:snapToGrid w:val="0"/>
              <w:jc w:val="center"/>
              <w:rPr>
                <w:b/>
                <w:bCs/>
                <w:color w:val="auto"/>
                <w:kern w:val="0"/>
                <w:sz w:val="24"/>
                <w:szCs w:val="21"/>
              </w:rPr>
            </w:pPr>
            <w:r>
              <w:rPr>
                <w:b/>
                <w:bCs/>
                <w:color w:val="auto"/>
                <w:kern w:val="0"/>
                <w:sz w:val="24"/>
                <w:szCs w:val="21"/>
              </w:rPr>
              <w:t>控</w:t>
            </w:r>
          </w:p>
          <w:p>
            <w:pPr>
              <w:adjustRightInd w:val="0"/>
              <w:snapToGrid w:val="0"/>
              <w:jc w:val="center"/>
              <w:rPr>
                <w:b/>
                <w:bCs/>
                <w:color w:val="auto"/>
                <w:kern w:val="0"/>
                <w:sz w:val="24"/>
                <w:szCs w:val="21"/>
              </w:rPr>
            </w:pPr>
            <w:r>
              <w:rPr>
                <w:b/>
                <w:bCs/>
                <w:color w:val="auto"/>
                <w:kern w:val="0"/>
                <w:sz w:val="24"/>
                <w:szCs w:val="21"/>
              </w:rPr>
              <w:t>制</w:t>
            </w:r>
          </w:p>
          <w:p>
            <w:pPr>
              <w:adjustRightInd w:val="0"/>
              <w:snapToGrid w:val="0"/>
              <w:jc w:val="center"/>
              <w:rPr>
                <w:b/>
                <w:bCs/>
                <w:color w:val="auto"/>
                <w:kern w:val="0"/>
                <w:sz w:val="24"/>
                <w:szCs w:val="21"/>
              </w:rPr>
            </w:pPr>
            <w:r>
              <w:rPr>
                <w:b/>
                <w:bCs/>
                <w:color w:val="auto"/>
                <w:kern w:val="0"/>
                <w:sz w:val="24"/>
                <w:szCs w:val="21"/>
              </w:rPr>
              <w:t>标</w:t>
            </w:r>
          </w:p>
          <w:p>
            <w:pPr>
              <w:adjustRightInd w:val="0"/>
              <w:snapToGrid w:val="0"/>
              <w:jc w:val="center"/>
              <w:rPr>
                <w:color w:val="auto"/>
                <w:kern w:val="0"/>
                <w:szCs w:val="21"/>
              </w:rPr>
            </w:pPr>
            <w:r>
              <w:rPr>
                <w:b/>
                <w:bCs/>
                <w:color w:val="auto"/>
                <w:kern w:val="0"/>
                <w:sz w:val="24"/>
                <w:szCs w:val="21"/>
              </w:rPr>
              <w:t>准</w:t>
            </w:r>
          </w:p>
        </w:tc>
        <w:tc>
          <w:tcPr>
            <w:tcW w:w="8983" w:type="dxa"/>
          </w:tcPr>
          <w:p>
            <w:pPr>
              <w:rPr>
                <w:rFonts w:eastAsia="黑体"/>
                <w:color w:val="auto"/>
                <w:sz w:val="24"/>
              </w:rPr>
            </w:pPr>
            <w:r>
              <w:rPr>
                <w:rFonts w:eastAsia="黑体"/>
                <w:color w:val="auto"/>
                <w:sz w:val="24"/>
              </w:rPr>
              <w:t>1</w:t>
            </w:r>
            <w:r>
              <w:rPr>
                <w:rFonts w:hint="eastAsia" w:eastAsia="黑体"/>
                <w:color w:val="auto"/>
                <w:sz w:val="24"/>
              </w:rPr>
              <w:t>废气</w:t>
            </w:r>
          </w:p>
          <w:p>
            <w:pPr>
              <w:pStyle w:val="43"/>
              <w:ind w:firstLine="514"/>
              <w:rPr>
                <w:rFonts w:hint="default" w:ascii="Times New Roman" w:hAnsi="Times New Roman" w:cs="Times New Roman"/>
                <w:color w:val="auto"/>
              </w:rPr>
            </w:pPr>
            <w:r>
              <w:rPr>
                <w:rFonts w:hint="default" w:ascii="Times New Roman" w:hAnsi="Times New Roman" w:cs="Times New Roman"/>
                <w:color w:val="auto"/>
                <w:lang w:val="en-US" w:eastAsia="zh-CN"/>
              </w:rPr>
              <w:t>项目</w:t>
            </w:r>
            <w:r>
              <w:rPr>
                <w:rFonts w:hint="default" w:ascii="Times New Roman" w:hAnsi="Times New Roman" w:cs="Times New Roman"/>
                <w:color w:val="auto"/>
              </w:rPr>
              <w:t>运营期加油站油气无组织排放执行《加油站大气污染物排放标准》（GB20952-2020）中相关要求。具体排放标准见表下表3-</w:t>
            </w:r>
            <w:r>
              <w:rPr>
                <w:rFonts w:hint="eastAsia" w:cs="Times New Roman"/>
                <w:color w:val="auto"/>
                <w:lang w:val="en-US" w:eastAsia="zh-CN"/>
              </w:rPr>
              <w:t>5</w:t>
            </w:r>
            <w:r>
              <w:rPr>
                <w:rFonts w:hint="default" w:ascii="Times New Roman" w:hAnsi="Times New Roman" w:cs="Times New Roman"/>
                <w:color w:val="auto"/>
              </w:rPr>
              <w:t>。</w:t>
            </w:r>
          </w:p>
          <w:p>
            <w:pPr>
              <w:pStyle w:val="55"/>
              <w:rPr>
                <w:rFonts w:cs="Times New Roman"/>
                <w:color w:val="auto"/>
              </w:rPr>
            </w:pPr>
            <w:r>
              <w:rPr>
                <w:rFonts w:hint="eastAsia" w:cs="Times New Roman"/>
                <w:color w:val="auto"/>
              </w:rPr>
              <w:t>表</w:t>
            </w:r>
            <w:r>
              <w:rPr>
                <w:rFonts w:cs="Times New Roman"/>
                <w:color w:val="auto"/>
              </w:rPr>
              <w:t>3-</w:t>
            </w:r>
            <w:r>
              <w:rPr>
                <w:rFonts w:hint="eastAsia" w:cs="Times New Roman"/>
                <w:color w:val="auto"/>
                <w:lang w:val="en-US" w:eastAsia="zh-CN"/>
              </w:rPr>
              <w:t xml:space="preserve">5  </w:t>
            </w:r>
            <w:r>
              <w:rPr>
                <w:rFonts w:hint="eastAsia" w:cs="Times New Roman"/>
                <w:color w:val="auto"/>
              </w:rPr>
              <w:t>加油站大气污染物排放标准</w:t>
            </w:r>
          </w:p>
          <w:tbl>
            <w:tblPr>
              <w:tblStyle w:val="26"/>
              <w:tblW w:w="894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81"/>
              <w:gridCol w:w="3057"/>
              <w:gridCol w:w="34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7"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170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无组织排放监控浓度限值</w:t>
                  </w:r>
                </w:p>
              </w:tc>
              <w:tc>
                <w:tcPr>
                  <w:tcW w:w="190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snapToGrid w:val="0"/>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7"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非甲烷总烃</w:t>
                  </w:r>
                </w:p>
              </w:tc>
              <w:tc>
                <w:tcPr>
                  <w:tcW w:w="1709"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4.0mg/m</w:t>
                  </w:r>
                  <w:r>
                    <w:rPr>
                      <w:rFonts w:hint="default" w:ascii="Times New Roman" w:hAnsi="Times New Roman" w:eastAsia="宋体" w:cs="Times New Roman"/>
                      <w:b w:val="0"/>
                      <w:bCs w:val="0"/>
                      <w:color w:val="auto"/>
                      <w:sz w:val="21"/>
                      <w:szCs w:val="21"/>
                      <w:vertAlign w:val="superscript"/>
                      <w:lang w:val="en-US" w:eastAsia="zh-CN"/>
                    </w:rPr>
                    <w:t>3</w:t>
                  </w:r>
                </w:p>
              </w:tc>
              <w:tc>
                <w:tcPr>
                  <w:tcW w:w="1903" w:type="pct"/>
                  <w:tcBorders>
                    <w:tl2br w:val="nil"/>
                    <w:tr2bl w:val="nil"/>
                  </w:tcBorders>
                  <w:vAlign w:val="center"/>
                </w:tcPr>
                <w:p>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color w:val="auto"/>
                    </w:rPr>
                    <w:t>《加油站大气污染物排放标准》（GB20952-2020）</w:t>
                  </w:r>
                </w:p>
              </w:tc>
            </w:tr>
          </w:tbl>
          <w:p>
            <w:pPr>
              <w:rPr>
                <w:rFonts w:eastAsia="黑体"/>
                <w:color w:val="auto"/>
                <w:sz w:val="24"/>
              </w:rPr>
            </w:pPr>
            <w:r>
              <w:rPr>
                <w:rFonts w:eastAsia="黑体"/>
                <w:color w:val="auto"/>
                <w:sz w:val="24"/>
              </w:rPr>
              <w:t>2</w:t>
            </w:r>
            <w:r>
              <w:rPr>
                <w:rFonts w:hint="eastAsia" w:eastAsia="黑体"/>
                <w:color w:val="auto"/>
                <w:sz w:val="24"/>
              </w:rPr>
              <w:t>噪声</w:t>
            </w:r>
          </w:p>
          <w:p>
            <w:pPr>
              <w:pStyle w:val="43"/>
              <w:ind w:firstLine="514"/>
              <w:rPr>
                <w:rFonts w:hint="eastAsia" w:cs="Times New Roman"/>
                <w:color w:val="auto"/>
              </w:rPr>
            </w:pPr>
            <w:r>
              <w:rPr>
                <w:rFonts w:hint="eastAsia"/>
                <w:color w:val="auto"/>
              </w:rPr>
              <w:t>项目厂界噪声排放执行《工业企业厂界环境噪声排放标准》</w:t>
            </w:r>
            <w:r>
              <w:rPr>
                <w:color w:val="auto"/>
              </w:rPr>
              <w:t>(GB12348-2008)2</w:t>
            </w:r>
            <w:r>
              <w:rPr>
                <w:rFonts w:hint="eastAsia"/>
                <w:color w:val="auto"/>
              </w:rPr>
              <w:t>类标准，施工现场执行《建筑施工场界环境噪声排放标准》</w:t>
            </w:r>
            <w:r>
              <w:rPr>
                <w:color w:val="auto"/>
              </w:rPr>
              <w:t>(GB12523-2011)</w:t>
            </w:r>
            <w:r>
              <w:rPr>
                <w:rFonts w:hint="eastAsia"/>
                <w:color w:val="auto"/>
              </w:rPr>
              <w:t>，具体见表</w:t>
            </w:r>
            <w:r>
              <w:rPr>
                <w:color w:val="auto"/>
              </w:rPr>
              <w:t>3-</w:t>
            </w:r>
            <w:r>
              <w:rPr>
                <w:rFonts w:hint="eastAsia"/>
                <w:color w:val="auto"/>
                <w:lang w:val="en-US" w:eastAsia="zh-CN"/>
              </w:rPr>
              <w:t>6</w:t>
            </w:r>
            <w:r>
              <w:rPr>
                <w:rFonts w:hint="eastAsia"/>
                <w:color w:val="auto"/>
              </w:rPr>
              <w:t>。</w:t>
            </w:r>
          </w:p>
          <w:p>
            <w:pPr>
              <w:pStyle w:val="55"/>
              <w:rPr>
                <w:rFonts w:cs="Times New Roman"/>
                <w:color w:val="auto"/>
              </w:rPr>
            </w:pPr>
            <w:r>
              <w:rPr>
                <w:rFonts w:hint="eastAsia" w:cs="Times New Roman"/>
                <w:color w:val="auto"/>
              </w:rPr>
              <w:t>表</w:t>
            </w:r>
            <w:r>
              <w:rPr>
                <w:rFonts w:cs="Times New Roman"/>
                <w:color w:val="auto"/>
              </w:rPr>
              <w:t>3-</w:t>
            </w:r>
            <w:r>
              <w:rPr>
                <w:rFonts w:hint="eastAsia" w:cs="Times New Roman"/>
                <w:color w:val="auto"/>
                <w:lang w:val="en-US" w:eastAsia="zh-CN"/>
              </w:rPr>
              <w:t xml:space="preserve">6  </w:t>
            </w:r>
            <w:r>
              <w:rPr>
                <w:rFonts w:hint="eastAsia" w:cs="Times New Roman"/>
                <w:color w:val="auto"/>
              </w:rPr>
              <w:t>环境噪声排放标准表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3418"/>
              <w:gridCol w:w="1093"/>
              <w:gridCol w:w="1546"/>
              <w:gridCol w:w="1693"/>
              <w:gridCol w:w="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669" w:type="pct"/>
                  <w:vMerge w:val="restart"/>
                  <w:tcBorders>
                    <w:top w:val="single" w:color="auto" w:sz="12" w:space="0"/>
                    <w:left w:val="nil"/>
                    <w:bottom w:val="single" w:color="auto" w:sz="4" w:space="0"/>
                    <w:right w:val="single" w:color="auto" w:sz="4" w:space="0"/>
                  </w:tcBorders>
                  <w:vAlign w:val="center"/>
                </w:tcPr>
                <w:p>
                  <w:pPr>
                    <w:adjustRightInd w:val="0"/>
                    <w:snapToGrid w:val="0"/>
                    <w:spacing w:line="280" w:lineRule="exact"/>
                    <w:jc w:val="center"/>
                    <w:rPr>
                      <w:b/>
                      <w:bCs/>
                      <w:color w:val="auto"/>
                      <w:kern w:val="0"/>
                      <w:szCs w:val="21"/>
                    </w:rPr>
                  </w:pPr>
                  <w:r>
                    <w:rPr>
                      <w:rFonts w:hint="eastAsia"/>
                      <w:b/>
                      <w:bCs/>
                      <w:color w:val="auto"/>
                      <w:kern w:val="0"/>
                      <w:szCs w:val="21"/>
                    </w:rPr>
                    <w:t>污染类别</w:t>
                  </w:r>
                </w:p>
              </w:tc>
              <w:tc>
                <w:tcPr>
                  <w:tcW w:w="1908" w:type="pct"/>
                  <w:vMerge w:val="restart"/>
                  <w:tcBorders>
                    <w:top w:val="single" w:color="auto" w:sz="12" w:space="0"/>
                    <w:left w:val="single" w:color="auto" w:sz="4" w:space="0"/>
                    <w:bottom w:val="single" w:color="auto" w:sz="4" w:space="0"/>
                    <w:right w:val="single" w:color="auto" w:sz="4" w:space="0"/>
                  </w:tcBorders>
                  <w:vAlign w:val="center"/>
                </w:tcPr>
                <w:p>
                  <w:pPr>
                    <w:adjustRightInd w:val="0"/>
                    <w:snapToGrid w:val="0"/>
                    <w:spacing w:line="280" w:lineRule="exact"/>
                    <w:jc w:val="center"/>
                    <w:rPr>
                      <w:b/>
                      <w:bCs/>
                      <w:color w:val="auto"/>
                      <w:kern w:val="0"/>
                      <w:szCs w:val="21"/>
                    </w:rPr>
                  </w:pPr>
                  <w:r>
                    <w:rPr>
                      <w:rFonts w:hint="eastAsia"/>
                      <w:b/>
                      <w:bCs/>
                      <w:color w:val="auto"/>
                      <w:kern w:val="0"/>
                      <w:szCs w:val="21"/>
                    </w:rPr>
                    <w:t>执行标准</w:t>
                  </w:r>
                </w:p>
              </w:tc>
              <w:tc>
                <w:tcPr>
                  <w:tcW w:w="610" w:type="pct"/>
                  <w:vMerge w:val="restart"/>
                  <w:tcBorders>
                    <w:top w:val="single" w:color="auto" w:sz="12" w:space="0"/>
                    <w:left w:val="single" w:color="auto" w:sz="4" w:space="0"/>
                    <w:bottom w:val="single" w:color="auto" w:sz="4" w:space="0"/>
                    <w:right w:val="single" w:color="auto" w:sz="4" w:space="0"/>
                  </w:tcBorders>
                  <w:vAlign w:val="center"/>
                </w:tcPr>
                <w:p>
                  <w:pPr>
                    <w:adjustRightInd w:val="0"/>
                    <w:snapToGrid w:val="0"/>
                    <w:spacing w:line="280" w:lineRule="exact"/>
                    <w:jc w:val="center"/>
                    <w:rPr>
                      <w:b/>
                      <w:bCs/>
                      <w:color w:val="auto"/>
                      <w:kern w:val="0"/>
                      <w:szCs w:val="21"/>
                    </w:rPr>
                  </w:pPr>
                  <w:r>
                    <w:rPr>
                      <w:rFonts w:hint="eastAsia"/>
                      <w:b/>
                      <w:bCs/>
                      <w:color w:val="auto"/>
                      <w:kern w:val="0"/>
                      <w:szCs w:val="21"/>
                    </w:rPr>
                    <w:t>级</w:t>
                  </w:r>
                  <w:r>
                    <w:rPr>
                      <w:b/>
                      <w:bCs/>
                      <w:color w:val="auto"/>
                      <w:kern w:val="0"/>
                      <w:szCs w:val="21"/>
                    </w:rPr>
                    <w:t>(</w:t>
                  </w:r>
                  <w:r>
                    <w:rPr>
                      <w:rFonts w:hint="eastAsia"/>
                      <w:b/>
                      <w:bCs/>
                      <w:color w:val="auto"/>
                      <w:kern w:val="0"/>
                      <w:szCs w:val="21"/>
                    </w:rPr>
                    <w:t>类</w:t>
                  </w:r>
                  <w:r>
                    <w:rPr>
                      <w:b/>
                      <w:bCs/>
                      <w:color w:val="auto"/>
                      <w:kern w:val="0"/>
                      <w:szCs w:val="21"/>
                    </w:rPr>
                    <w:t>)</w:t>
                  </w:r>
                  <w:r>
                    <w:rPr>
                      <w:rFonts w:hint="eastAsia"/>
                      <w:b/>
                      <w:bCs/>
                      <w:color w:val="auto"/>
                      <w:kern w:val="0"/>
                      <w:szCs w:val="21"/>
                    </w:rPr>
                    <w:t>别</w:t>
                  </w:r>
                </w:p>
              </w:tc>
              <w:tc>
                <w:tcPr>
                  <w:tcW w:w="1814" w:type="pct"/>
                  <w:gridSpan w:val="3"/>
                  <w:tcBorders>
                    <w:top w:val="single" w:color="auto" w:sz="12" w:space="0"/>
                    <w:left w:val="single" w:color="auto" w:sz="4" w:space="0"/>
                    <w:bottom w:val="single" w:color="auto" w:sz="4" w:space="0"/>
                    <w:right w:val="nil"/>
                  </w:tcBorders>
                  <w:vAlign w:val="center"/>
                </w:tcPr>
                <w:p>
                  <w:pPr>
                    <w:adjustRightInd w:val="0"/>
                    <w:snapToGrid w:val="0"/>
                    <w:spacing w:line="280" w:lineRule="exact"/>
                    <w:jc w:val="center"/>
                    <w:rPr>
                      <w:b/>
                      <w:bCs/>
                      <w:color w:val="auto"/>
                      <w:kern w:val="0"/>
                      <w:szCs w:val="21"/>
                    </w:rPr>
                  </w:pPr>
                  <w:r>
                    <w:rPr>
                      <w:rFonts w:hint="eastAsia"/>
                      <w:b/>
                      <w:bCs/>
                      <w:color w:val="auto"/>
                      <w:kern w:val="0"/>
                      <w:szCs w:val="21"/>
                    </w:rPr>
                    <w:t>标准值</w:t>
                  </w:r>
                  <w:r>
                    <w:rPr>
                      <w:b/>
                      <w:bCs/>
                      <w:color w:val="auto"/>
                      <w:kern w:val="0"/>
                      <w:szCs w:val="21"/>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1197" w:type="dxa"/>
                  <w:vMerge w:val="continue"/>
                  <w:tcBorders>
                    <w:top w:val="single" w:color="auto" w:sz="12" w:space="0"/>
                    <w:left w:val="nil"/>
                    <w:bottom w:val="single" w:color="auto" w:sz="4" w:space="0"/>
                    <w:right w:val="single" w:color="auto" w:sz="4" w:space="0"/>
                  </w:tcBorders>
                  <w:vAlign w:val="center"/>
                </w:tcPr>
                <w:p>
                  <w:pPr>
                    <w:widowControl/>
                    <w:jc w:val="left"/>
                    <w:rPr>
                      <w:b/>
                      <w:bCs/>
                      <w:color w:val="auto"/>
                      <w:kern w:val="0"/>
                      <w:szCs w:val="21"/>
                    </w:rPr>
                  </w:pPr>
                </w:p>
              </w:tc>
              <w:tc>
                <w:tcPr>
                  <w:tcW w:w="3413" w:type="dxa"/>
                  <w:vMerge w:val="continue"/>
                  <w:tcBorders>
                    <w:top w:val="single" w:color="auto" w:sz="12" w:space="0"/>
                    <w:left w:val="single" w:color="auto" w:sz="4" w:space="0"/>
                    <w:bottom w:val="single" w:color="auto" w:sz="4" w:space="0"/>
                    <w:right w:val="single" w:color="auto" w:sz="4" w:space="0"/>
                  </w:tcBorders>
                  <w:vAlign w:val="center"/>
                </w:tcPr>
                <w:p>
                  <w:pPr>
                    <w:widowControl/>
                    <w:jc w:val="left"/>
                    <w:rPr>
                      <w:b/>
                      <w:bCs/>
                      <w:color w:val="auto"/>
                      <w:kern w:val="0"/>
                      <w:szCs w:val="21"/>
                    </w:rPr>
                  </w:pPr>
                </w:p>
              </w:tc>
              <w:tc>
                <w:tcPr>
                  <w:tcW w:w="1091" w:type="dxa"/>
                  <w:vMerge w:val="continue"/>
                  <w:tcBorders>
                    <w:top w:val="single" w:color="auto" w:sz="12" w:space="0"/>
                    <w:left w:val="single" w:color="auto" w:sz="4" w:space="0"/>
                    <w:bottom w:val="single" w:color="auto" w:sz="4" w:space="0"/>
                    <w:right w:val="single" w:color="auto" w:sz="4" w:space="0"/>
                  </w:tcBorders>
                  <w:vAlign w:val="center"/>
                </w:tcPr>
                <w:p>
                  <w:pPr>
                    <w:widowControl/>
                    <w:jc w:val="left"/>
                    <w:rPr>
                      <w:b/>
                      <w:bCs/>
                      <w:color w:val="auto"/>
                      <w:kern w:val="0"/>
                      <w:szCs w:val="21"/>
                    </w:rPr>
                  </w:pPr>
                </w:p>
              </w:tc>
              <w:tc>
                <w:tcPr>
                  <w:tcW w:w="86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b/>
                      <w:bCs/>
                      <w:color w:val="auto"/>
                      <w:kern w:val="0"/>
                      <w:szCs w:val="21"/>
                    </w:rPr>
                  </w:pPr>
                  <w:r>
                    <w:rPr>
                      <w:rFonts w:hint="eastAsia"/>
                      <w:b/>
                      <w:bCs/>
                      <w:color w:val="auto"/>
                      <w:kern w:val="0"/>
                      <w:szCs w:val="21"/>
                    </w:rPr>
                    <w:t>昼间</w:t>
                  </w:r>
                </w:p>
              </w:tc>
              <w:tc>
                <w:tcPr>
                  <w:tcW w:w="950" w:type="pct"/>
                  <w:gridSpan w:val="2"/>
                  <w:tcBorders>
                    <w:top w:val="single" w:color="auto" w:sz="4" w:space="0"/>
                    <w:left w:val="single" w:color="auto" w:sz="4" w:space="0"/>
                    <w:bottom w:val="single" w:color="auto" w:sz="4" w:space="0"/>
                    <w:right w:val="nil"/>
                  </w:tcBorders>
                  <w:vAlign w:val="center"/>
                </w:tcPr>
                <w:p>
                  <w:pPr>
                    <w:adjustRightInd w:val="0"/>
                    <w:snapToGrid w:val="0"/>
                    <w:spacing w:line="280" w:lineRule="exact"/>
                    <w:jc w:val="center"/>
                    <w:rPr>
                      <w:b/>
                      <w:bCs/>
                      <w:color w:val="auto"/>
                      <w:kern w:val="0"/>
                      <w:szCs w:val="21"/>
                    </w:rPr>
                  </w:pPr>
                  <w:r>
                    <w:rPr>
                      <w:rFonts w:hint="eastAsia"/>
                      <w:b/>
                      <w:bCs/>
                      <w:color w:val="auto"/>
                      <w:kern w:val="0"/>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336" w:hRule="atLeast"/>
                <w:jc w:val="center"/>
              </w:trPr>
              <w:tc>
                <w:tcPr>
                  <w:tcW w:w="669" w:type="pct"/>
                  <w:vMerge w:val="restart"/>
                  <w:tcBorders>
                    <w:top w:val="single" w:color="auto" w:sz="4" w:space="0"/>
                    <w:left w:val="nil"/>
                    <w:bottom w:val="single" w:color="auto" w:sz="12" w:space="0"/>
                    <w:right w:val="single" w:color="auto" w:sz="4" w:space="0"/>
                  </w:tcBorders>
                  <w:vAlign w:val="center"/>
                </w:tcPr>
                <w:p>
                  <w:pPr>
                    <w:adjustRightInd w:val="0"/>
                    <w:snapToGrid w:val="0"/>
                    <w:spacing w:line="280" w:lineRule="exact"/>
                    <w:jc w:val="center"/>
                    <w:rPr>
                      <w:bCs/>
                      <w:color w:val="auto"/>
                      <w:kern w:val="0"/>
                      <w:szCs w:val="21"/>
                    </w:rPr>
                  </w:pPr>
                  <w:r>
                    <w:rPr>
                      <w:rFonts w:hint="eastAsia"/>
                      <w:bCs/>
                      <w:color w:val="auto"/>
                      <w:kern w:val="0"/>
                      <w:szCs w:val="21"/>
                    </w:rPr>
                    <w:t>噪声</w:t>
                  </w:r>
                </w:p>
              </w:tc>
              <w:tc>
                <w:tcPr>
                  <w:tcW w:w="190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bCs/>
                      <w:color w:val="auto"/>
                      <w:kern w:val="0"/>
                      <w:szCs w:val="21"/>
                    </w:rPr>
                  </w:pPr>
                  <w:r>
                    <w:rPr>
                      <w:rFonts w:hint="eastAsia"/>
                      <w:bCs/>
                      <w:color w:val="auto"/>
                      <w:kern w:val="0"/>
                      <w:szCs w:val="21"/>
                    </w:rPr>
                    <w:t>《工业企业厂界环境噪声排放标准》</w:t>
                  </w:r>
                  <w:r>
                    <w:rPr>
                      <w:bCs/>
                      <w:color w:val="auto"/>
                      <w:kern w:val="0"/>
                      <w:szCs w:val="21"/>
                    </w:rPr>
                    <w:t>(GB12348-2008)</w:t>
                  </w:r>
                </w:p>
              </w:tc>
              <w:tc>
                <w:tcPr>
                  <w:tcW w:w="61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bCs/>
                      <w:color w:val="auto"/>
                      <w:kern w:val="0"/>
                      <w:szCs w:val="21"/>
                    </w:rPr>
                  </w:pPr>
                  <w:r>
                    <w:rPr>
                      <w:bCs/>
                      <w:color w:val="auto"/>
                      <w:kern w:val="0"/>
                      <w:szCs w:val="21"/>
                    </w:rPr>
                    <w:t>2</w:t>
                  </w:r>
                  <w:r>
                    <w:rPr>
                      <w:rFonts w:hint="eastAsia"/>
                      <w:bCs/>
                      <w:color w:val="auto"/>
                      <w:kern w:val="0"/>
                      <w:szCs w:val="21"/>
                    </w:rPr>
                    <w:t>类</w:t>
                  </w:r>
                </w:p>
              </w:tc>
              <w:tc>
                <w:tcPr>
                  <w:tcW w:w="86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bCs/>
                      <w:color w:val="auto"/>
                      <w:kern w:val="0"/>
                      <w:szCs w:val="21"/>
                    </w:rPr>
                  </w:pPr>
                  <w:r>
                    <w:rPr>
                      <w:bCs/>
                      <w:color w:val="auto"/>
                      <w:kern w:val="0"/>
                      <w:szCs w:val="21"/>
                    </w:rPr>
                    <w:t>60</w:t>
                  </w:r>
                </w:p>
              </w:tc>
              <w:tc>
                <w:tcPr>
                  <w:tcW w:w="945" w:type="pct"/>
                  <w:tcBorders>
                    <w:top w:val="single" w:color="auto" w:sz="4" w:space="0"/>
                    <w:left w:val="single" w:color="auto" w:sz="4" w:space="0"/>
                    <w:bottom w:val="single" w:color="auto" w:sz="4" w:space="0"/>
                    <w:right w:val="nil"/>
                  </w:tcBorders>
                  <w:vAlign w:val="center"/>
                </w:tcPr>
                <w:p>
                  <w:pPr>
                    <w:adjustRightInd w:val="0"/>
                    <w:snapToGrid w:val="0"/>
                    <w:spacing w:line="280" w:lineRule="exact"/>
                    <w:jc w:val="center"/>
                    <w:rPr>
                      <w:bCs/>
                      <w:color w:val="auto"/>
                      <w:kern w:val="0"/>
                      <w:szCs w:val="21"/>
                    </w:rPr>
                  </w:pPr>
                  <w:r>
                    <w:rPr>
                      <w:bCs/>
                      <w:color w:val="auto"/>
                      <w:kern w:val="0"/>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6" w:hRule="atLeast"/>
                <w:jc w:val="center"/>
              </w:trPr>
              <w:tc>
                <w:tcPr>
                  <w:tcW w:w="1197" w:type="dxa"/>
                  <w:vMerge w:val="continue"/>
                  <w:tcBorders>
                    <w:top w:val="single" w:color="auto" w:sz="4" w:space="0"/>
                    <w:left w:val="nil"/>
                    <w:bottom w:val="single" w:color="auto" w:sz="12" w:space="0"/>
                    <w:right w:val="single" w:color="auto" w:sz="4" w:space="0"/>
                  </w:tcBorders>
                  <w:vAlign w:val="center"/>
                </w:tcPr>
                <w:p>
                  <w:pPr>
                    <w:widowControl/>
                    <w:jc w:val="left"/>
                    <w:rPr>
                      <w:bCs/>
                      <w:color w:val="auto"/>
                      <w:kern w:val="0"/>
                      <w:szCs w:val="21"/>
                    </w:rPr>
                  </w:pPr>
                </w:p>
              </w:tc>
              <w:tc>
                <w:tcPr>
                  <w:tcW w:w="1908" w:type="pct"/>
                  <w:tcBorders>
                    <w:top w:val="single" w:color="auto" w:sz="4" w:space="0"/>
                    <w:left w:val="single" w:color="auto" w:sz="4" w:space="0"/>
                    <w:bottom w:val="single" w:color="auto" w:sz="12" w:space="0"/>
                    <w:right w:val="single" w:color="auto" w:sz="4" w:space="0"/>
                  </w:tcBorders>
                  <w:vAlign w:val="center"/>
                </w:tcPr>
                <w:p>
                  <w:pPr>
                    <w:adjustRightInd w:val="0"/>
                    <w:snapToGrid w:val="0"/>
                    <w:spacing w:line="280" w:lineRule="exact"/>
                    <w:jc w:val="center"/>
                    <w:rPr>
                      <w:bCs/>
                      <w:color w:val="auto"/>
                      <w:kern w:val="0"/>
                      <w:szCs w:val="21"/>
                    </w:rPr>
                  </w:pPr>
                  <w:r>
                    <w:rPr>
                      <w:rFonts w:hint="eastAsia"/>
                      <w:bCs/>
                      <w:color w:val="auto"/>
                      <w:kern w:val="0"/>
                      <w:szCs w:val="21"/>
                    </w:rPr>
                    <w:t>《建筑施工场界环境噪声排放标准》</w:t>
                  </w:r>
                  <w:r>
                    <w:rPr>
                      <w:bCs/>
                      <w:color w:val="auto"/>
                      <w:kern w:val="0"/>
                      <w:szCs w:val="21"/>
                    </w:rPr>
                    <w:t>(GB12523-2011)</w:t>
                  </w:r>
                </w:p>
              </w:tc>
              <w:tc>
                <w:tcPr>
                  <w:tcW w:w="610" w:type="pct"/>
                  <w:tcBorders>
                    <w:top w:val="single" w:color="auto" w:sz="4" w:space="0"/>
                    <w:left w:val="single" w:color="auto" w:sz="4" w:space="0"/>
                    <w:bottom w:val="single" w:color="auto" w:sz="12" w:space="0"/>
                    <w:right w:val="single" w:color="auto" w:sz="4" w:space="0"/>
                  </w:tcBorders>
                  <w:vAlign w:val="center"/>
                </w:tcPr>
                <w:p>
                  <w:pPr>
                    <w:adjustRightInd w:val="0"/>
                    <w:snapToGrid w:val="0"/>
                    <w:spacing w:line="280" w:lineRule="exact"/>
                    <w:jc w:val="center"/>
                    <w:rPr>
                      <w:bCs/>
                      <w:color w:val="auto"/>
                      <w:kern w:val="0"/>
                      <w:szCs w:val="21"/>
                    </w:rPr>
                  </w:pPr>
                  <w:r>
                    <w:rPr>
                      <w:bCs/>
                      <w:color w:val="auto"/>
                      <w:kern w:val="0"/>
                      <w:szCs w:val="21"/>
                    </w:rPr>
                    <w:t>/</w:t>
                  </w:r>
                </w:p>
              </w:tc>
              <w:tc>
                <w:tcPr>
                  <w:tcW w:w="863" w:type="pct"/>
                  <w:tcBorders>
                    <w:top w:val="single" w:color="auto" w:sz="4" w:space="0"/>
                    <w:left w:val="single" w:color="auto" w:sz="4" w:space="0"/>
                    <w:bottom w:val="single" w:color="auto" w:sz="12" w:space="0"/>
                    <w:right w:val="single" w:color="auto" w:sz="4" w:space="0"/>
                  </w:tcBorders>
                  <w:vAlign w:val="center"/>
                </w:tcPr>
                <w:p>
                  <w:pPr>
                    <w:adjustRightInd w:val="0"/>
                    <w:snapToGrid w:val="0"/>
                    <w:spacing w:line="280" w:lineRule="exact"/>
                    <w:jc w:val="center"/>
                    <w:rPr>
                      <w:bCs/>
                      <w:color w:val="auto"/>
                      <w:kern w:val="0"/>
                      <w:szCs w:val="21"/>
                    </w:rPr>
                  </w:pPr>
                  <w:r>
                    <w:rPr>
                      <w:bCs/>
                      <w:color w:val="auto"/>
                      <w:kern w:val="0"/>
                      <w:szCs w:val="21"/>
                    </w:rPr>
                    <w:t>70</w:t>
                  </w:r>
                </w:p>
              </w:tc>
              <w:tc>
                <w:tcPr>
                  <w:tcW w:w="945" w:type="pct"/>
                  <w:tcBorders>
                    <w:top w:val="single" w:color="auto" w:sz="4" w:space="0"/>
                    <w:left w:val="single" w:color="auto" w:sz="4" w:space="0"/>
                    <w:bottom w:val="single" w:color="auto" w:sz="12" w:space="0"/>
                    <w:right w:val="nil"/>
                  </w:tcBorders>
                  <w:vAlign w:val="center"/>
                </w:tcPr>
                <w:p>
                  <w:pPr>
                    <w:adjustRightInd w:val="0"/>
                    <w:snapToGrid w:val="0"/>
                    <w:spacing w:line="280" w:lineRule="exact"/>
                    <w:jc w:val="center"/>
                    <w:rPr>
                      <w:bCs/>
                      <w:color w:val="auto"/>
                      <w:kern w:val="0"/>
                      <w:szCs w:val="21"/>
                    </w:rPr>
                  </w:pPr>
                  <w:r>
                    <w:rPr>
                      <w:bCs/>
                      <w:color w:val="auto"/>
                      <w:kern w:val="0"/>
                      <w:szCs w:val="21"/>
                    </w:rPr>
                    <w:t>55</w:t>
                  </w:r>
                </w:p>
              </w:tc>
            </w:tr>
          </w:tbl>
          <w:p>
            <w:pPr>
              <w:rPr>
                <w:rFonts w:eastAsia="黑体"/>
                <w:color w:val="auto"/>
                <w:sz w:val="24"/>
              </w:rPr>
            </w:pPr>
            <w:r>
              <w:rPr>
                <w:rFonts w:hint="eastAsia" w:eastAsia="黑体"/>
                <w:color w:val="auto"/>
                <w:sz w:val="24"/>
                <w:lang w:val="en-US" w:eastAsia="zh-CN"/>
              </w:rPr>
              <w:t>3</w:t>
            </w:r>
            <w:r>
              <w:rPr>
                <w:rFonts w:hint="eastAsia" w:eastAsia="黑体"/>
                <w:color w:val="auto"/>
                <w:sz w:val="24"/>
              </w:rPr>
              <w:t>固体废物</w:t>
            </w:r>
          </w:p>
          <w:p>
            <w:pPr>
              <w:pStyle w:val="43"/>
              <w:ind w:firstLine="514"/>
              <w:rPr>
                <w:color w:val="auto"/>
              </w:rPr>
            </w:pPr>
            <w:r>
              <w:rPr>
                <w:rFonts w:hint="eastAsia"/>
                <w:color w:val="auto"/>
              </w:rPr>
              <w:t>本项目产生的一般工业固体废物贮存及处置应执行《一般工业固体废物贮存和填埋污染控制标准》（GB18599－2020）中的相关规定。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34" w:hRule="atLeast"/>
          <w:jc w:val="center"/>
        </w:trPr>
        <w:tc>
          <w:tcPr>
            <w:tcW w:w="480" w:type="dxa"/>
            <w:vAlign w:val="center"/>
          </w:tcPr>
          <w:p>
            <w:pPr>
              <w:adjustRightInd w:val="0"/>
              <w:snapToGrid w:val="0"/>
              <w:ind w:right="113" w:rightChars="50"/>
              <w:rPr>
                <w:b/>
                <w:color w:val="auto"/>
                <w:kern w:val="0"/>
                <w:sz w:val="24"/>
                <w:szCs w:val="21"/>
              </w:rPr>
            </w:pPr>
            <w:r>
              <w:rPr>
                <w:b/>
                <w:color w:val="auto"/>
                <w:kern w:val="0"/>
                <w:sz w:val="24"/>
                <w:szCs w:val="21"/>
              </w:rPr>
              <w:t>总量</w:t>
            </w:r>
          </w:p>
          <w:p>
            <w:pPr>
              <w:adjustRightInd w:val="0"/>
              <w:snapToGrid w:val="0"/>
              <w:ind w:right="113" w:rightChars="50"/>
              <w:rPr>
                <w:b/>
                <w:color w:val="auto"/>
                <w:kern w:val="0"/>
                <w:sz w:val="24"/>
                <w:szCs w:val="21"/>
              </w:rPr>
            </w:pPr>
            <w:r>
              <w:rPr>
                <w:b/>
                <w:color w:val="auto"/>
                <w:kern w:val="0"/>
                <w:sz w:val="24"/>
                <w:szCs w:val="21"/>
              </w:rPr>
              <w:t>控制</w:t>
            </w:r>
          </w:p>
          <w:p>
            <w:pPr>
              <w:adjustRightInd w:val="0"/>
              <w:snapToGrid w:val="0"/>
              <w:ind w:right="113" w:rightChars="50"/>
              <w:rPr>
                <w:color w:val="auto"/>
                <w:kern w:val="0"/>
                <w:szCs w:val="21"/>
              </w:rPr>
            </w:pPr>
            <w:r>
              <w:rPr>
                <w:b/>
                <w:color w:val="auto"/>
                <w:kern w:val="0"/>
                <w:sz w:val="24"/>
                <w:szCs w:val="21"/>
              </w:rPr>
              <w:t>指标</w:t>
            </w:r>
          </w:p>
        </w:tc>
        <w:tc>
          <w:tcPr>
            <w:tcW w:w="8983" w:type="dxa"/>
            <w:vAlign w:val="center"/>
          </w:tcPr>
          <w:p>
            <w:pPr>
              <w:keepNext w:val="0"/>
              <w:keepLines w:val="0"/>
              <w:pageBreakBefore w:val="0"/>
              <w:widowControl/>
              <w:kinsoku/>
              <w:wordWrap/>
              <w:overflowPunct/>
              <w:topLinePunct w:val="0"/>
              <w:autoSpaceDE/>
              <w:autoSpaceDN/>
              <w:bidi w:val="0"/>
              <w:adjustRightInd/>
              <w:snapToGrid/>
              <w:ind w:firstLine="512" w:firstLineChars="200"/>
              <w:jc w:val="left"/>
              <w:textAlignment w:val="auto"/>
              <w:rPr>
                <w:rFonts w:hint="eastAsia"/>
                <w:color w:val="auto"/>
                <w:sz w:val="24"/>
                <w:szCs w:val="24"/>
              </w:rPr>
            </w:pPr>
            <w:r>
              <w:rPr>
                <w:rFonts w:hint="eastAsia"/>
                <w:color w:val="auto"/>
                <w:sz w:val="24"/>
                <w:szCs w:val="24"/>
              </w:rPr>
              <w:t>根据《“十三五”生态环境保护规划》中“专栏1</w:t>
            </w:r>
            <w:r>
              <w:rPr>
                <w:rFonts w:hint="eastAsia"/>
                <w:color w:val="auto"/>
                <w:sz w:val="24"/>
                <w:szCs w:val="24"/>
                <w:lang w:eastAsia="zh-CN"/>
              </w:rPr>
              <w:t>‘</w:t>
            </w:r>
            <w:r>
              <w:rPr>
                <w:rFonts w:hint="eastAsia"/>
                <w:color w:val="auto"/>
                <w:sz w:val="24"/>
                <w:szCs w:val="24"/>
              </w:rPr>
              <w:t>十三五</w:t>
            </w:r>
            <w:r>
              <w:rPr>
                <w:rFonts w:hint="eastAsia"/>
                <w:color w:val="auto"/>
                <w:sz w:val="24"/>
                <w:szCs w:val="24"/>
                <w:lang w:eastAsia="zh-CN"/>
              </w:rPr>
              <w:t>’</w:t>
            </w:r>
            <w:r>
              <w:rPr>
                <w:rFonts w:hint="eastAsia"/>
                <w:color w:val="auto"/>
                <w:sz w:val="24"/>
                <w:szCs w:val="24"/>
              </w:rPr>
              <w:t>生态环境保护主要指标污染物排放总量”，结合本项目生产工艺特点及排污特征，确定本工程污染物总量控制因子为VOCs（以非甲烷总烃计），各污染物排放总量的确定遵循达标排放的原则。因此，本项目污染物总量控制建议指标如下：</w:t>
            </w:r>
          </w:p>
          <w:p>
            <w:pPr>
              <w:keepNext w:val="0"/>
              <w:keepLines w:val="0"/>
              <w:pageBreakBefore w:val="0"/>
              <w:widowControl/>
              <w:kinsoku/>
              <w:wordWrap/>
              <w:overflowPunct/>
              <w:topLinePunct w:val="0"/>
              <w:autoSpaceDE/>
              <w:autoSpaceDN/>
              <w:bidi w:val="0"/>
              <w:adjustRightInd/>
              <w:snapToGrid/>
              <w:ind w:firstLine="512" w:firstLineChars="200"/>
              <w:jc w:val="left"/>
              <w:textAlignment w:val="auto"/>
              <w:rPr>
                <w:rFonts w:hint="eastAsia" w:eastAsia="宋体"/>
                <w:color w:val="auto"/>
                <w:sz w:val="24"/>
                <w:szCs w:val="24"/>
                <w:lang w:val="en-US" w:eastAsia="zh-CN"/>
              </w:rPr>
            </w:pPr>
            <w:r>
              <w:rPr>
                <w:rFonts w:hint="eastAsia"/>
                <w:color w:val="auto"/>
                <w:sz w:val="24"/>
                <w:szCs w:val="24"/>
              </w:rPr>
              <w:t>本项目无组织排放的VOCs（以非甲烷总烃计）废气排放量为</w:t>
            </w:r>
            <w:r>
              <w:rPr>
                <w:rFonts w:hint="eastAsia"/>
                <w:color w:val="auto"/>
                <w:sz w:val="24"/>
                <w:szCs w:val="24"/>
                <w:lang w:val="en-US" w:eastAsia="zh-CN"/>
              </w:rPr>
              <w:t>0.54</w:t>
            </w:r>
            <w:r>
              <w:rPr>
                <w:rFonts w:hint="eastAsia"/>
                <w:color w:val="auto"/>
                <w:sz w:val="24"/>
                <w:szCs w:val="24"/>
              </w:rPr>
              <w:t>t/a，</w:t>
            </w:r>
            <w:r>
              <w:rPr>
                <w:rFonts w:hint="eastAsia"/>
                <w:color w:val="auto"/>
                <w:sz w:val="24"/>
                <w:szCs w:val="24"/>
                <w:lang w:val="en-US" w:eastAsia="zh-CN"/>
              </w:rPr>
              <w:t>因此</w:t>
            </w:r>
            <w:r>
              <w:rPr>
                <w:rFonts w:hint="eastAsia"/>
                <w:color w:val="auto"/>
                <w:sz w:val="24"/>
                <w:szCs w:val="24"/>
                <w:lang w:eastAsia="zh-CN"/>
              </w:rPr>
              <w:t>建议本项目污染物总量控制指标：</w:t>
            </w:r>
            <w:r>
              <w:rPr>
                <w:rFonts w:hint="eastAsia"/>
                <w:color w:val="auto"/>
                <w:sz w:val="24"/>
                <w:szCs w:val="24"/>
              </w:rPr>
              <w:t>VOCs</w:t>
            </w:r>
            <w:r>
              <w:rPr>
                <w:rFonts w:hint="eastAsia"/>
                <w:color w:val="auto"/>
                <w:sz w:val="24"/>
                <w:szCs w:val="24"/>
                <w:lang w:eastAsia="zh-CN"/>
              </w:rPr>
              <w:t>：</w:t>
            </w:r>
            <w:r>
              <w:rPr>
                <w:rFonts w:hint="eastAsia"/>
                <w:color w:val="auto"/>
                <w:sz w:val="24"/>
                <w:szCs w:val="24"/>
                <w:lang w:val="en-US" w:eastAsia="zh-CN"/>
              </w:rPr>
              <w:t>0.54</w:t>
            </w:r>
            <w:r>
              <w:rPr>
                <w:rFonts w:hint="eastAsia"/>
                <w:color w:val="auto"/>
                <w:sz w:val="24"/>
                <w:szCs w:val="24"/>
              </w:rPr>
              <w:t>t/a</w:t>
            </w:r>
          </w:p>
          <w:p>
            <w:pPr>
              <w:keepNext w:val="0"/>
              <w:keepLines w:val="0"/>
              <w:pageBreakBefore w:val="0"/>
              <w:widowControl/>
              <w:kinsoku/>
              <w:wordWrap/>
              <w:overflowPunct/>
              <w:topLinePunct w:val="0"/>
              <w:autoSpaceDE/>
              <w:autoSpaceDN/>
              <w:bidi w:val="0"/>
              <w:adjustRightInd/>
              <w:snapToGrid/>
              <w:ind w:firstLine="512" w:firstLineChars="200"/>
              <w:jc w:val="left"/>
              <w:textAlignment w:val="auto"/>
              <w:rPr>
                <w:rFonts w:hint="eastAsia"/>
                <w:color w:val="auto"/>
                <w:sz w:val="24"/>
                <w:szCs w:val="24"/>
              </w:rPr>
            </w:pPr>
          </w:p>
        </w:tc>
      </w:tr>
    </w:tbl>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四、主要环境影响和保护措施</w:t>
      </w:r>
    </w:p>
    <w:tbl>
      <w:tblPr>
        <w:tblStyle w:val="26"/>
        <w:tblW w:w="98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63"/>
        <w:gridCol w:w="92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dxa"/>
            <w:tcMar>
              <w:left w:w="28" w:type="dxa"/>
              <w:right w:w="28" w:type="dxa"/>
            </w:tcMar>
            <w:vAlign w:val="center"/>
          </w:tcPr>
          <w:p>
            <w:pPr>
              <w:pStyle w:val="22"/>
              <w:adjustRightInd w:val="0"/>
              <w:snapToGrid w:val="0"/>
              <w:spacing w:before="0" w:beforeAutospacing="0" w:after="0" w:afterAutospacing="0"/>
              <w:ind w:left="113" w:leftChars="50" w:right="113" w:rightChars="50"/>
              <w:jc w:val="center"/>
              <w:rPr>
                <w:rFonts w:hint="default" w:ascii="Times New Roman" w:hAnsi="Times New Roman" w:cs="Times New Roman"/>
                <w:b/>
                <w:bCs/>
                <w:color w:val="auto"/>
                <w:kern w:val="2"/>
                <w:szCs w:val="21"/>
              </w:rPr>
            </w:pPr>
            <w:r>
              <w:rPr>
                <w:rFonts w:hint="default" w:ascii="Times New Roman" w:hAnsi="Times New Roman" w:cs="Times New Roman"/>
                <w:b/>
                <w:bCs/>
                <w:color w:val="auto"/>
                <w:kern w:val="2"/>
                <w:szCs w:val="21"/>
              </w:rPr>
              <w:t>施工</w:t>
            </w:r>
          </w:p>
          <w:p>
            <w:pPr>
              <w:pStyle w:val="22"/>
              <w:adjustRightInd w:val="0"/>
              <w:snapToGrid w:val="0"/>
              <w:spacing w:before="0" w:beforeAutospacing="0" w:after="0" w:afterAutospacing="0"/>
              <w:ind w:left="113" w:leftChars="50" w:right="113" w:rightChars="50"/>
              <w:jc w:val="center"/>
              <w:rPr>
                <w:rFonts w:hint="default" w:ascii="Times New Roman" w:hAnsi="Times New Roman" w:cs="Times New Roman"/>
                <w:b/>
                <w:bCs/>
                <w:color w:val="auto"/>
                <w:kern w:val="2"/>
                <w:szCs w:val="21"/>
              </w:rPr>
            </w:pPr>
            <w:r>
              <w:rPr>
                <w:rFonts w:hint="default" w:ascii="Times New Roman" w:hAnsi="Times New Roman" w:cs="Times New Roman"/>
                <w:b/>
                <w:bCs/>
                <w:color w:val="auto"/>
                <w:kern w:val="2"/>
                <w:szCs w:val="21"/>
              </w:rPr>
              <w:t>期环</w:t>
            </w:r>
          </w:p>
          <w:p>
            <w:pPr>
              <w:pStyle w:val="22"/>
              <w:adjustRightInd w:val="0"/>
              <w:snapToGrid w:val="0"/>
              <w:spacing w:before="0" w:beforeAutospacing="0" w:after="0" w:afterAutospacing="0"/>
              <w:ind w:left="113" w:leftChars="50" w:right="113" w:rightChars="50"/>
              <w:jc w:val="center"/>
              <w:rPr>
                <w:rFonts w:hint="default" w:ascii="Times New Roman" w:hAnsi="Times New Roman" w:cs="Times New Roman"/>
                <w:b/>
                <w:bCs/>
                <w:color w:val="auto"/>
                <w:kern w:val="2"/>
                <w:szCs w:val="21"/>
              </w:rPr>
            </w:pPr>
            <w:r>
              <w:rPr>
                <w:rFonts w:hint="default" w:ascii="Times New Roman" w:hAnsi="Times New Roman" w:cs="Times New Roman"/>
                <w:b/>
                <w:bCs/>
                <w:color w:val="auto"/>
                <w:kern w:val="2"/>
                <w:szCs w:val="21"/>
              </w:rPr>
              <w:t>境保</w:t>
            </w:r>
          </w:p>
          <w:p>
            <w:pPr>
              <w:pStyle w:val="22"/>
              <w:adjustRightInd w:val="0"/>
              <w:snapToGrid w:val="0"/>
              <w:spacing w:before="0" w:beforeAutospacing="0" w:after="0" w:afterAutospacing="0"/>
              <w:ind w:left="113" w:leftChars="50" w:right="113" w:rightChars="50"/>
              <w:jc w:val="center"/>
              <w:rPr>
                <w:rFonts w:hint="default" w:ascii="Times New Roman" w:hAnsi="Times New Roman" w:cs="Times New Roman"/>
                <w:b/>
                <w:bCs/>
                <w:color w:val="auto"/>
                <w:kern w:val="2"/>
                <w:szCs w:val="21"/>
              </w:rPr>
            </w:pPr>
            <w:r>
              <w:rPr>
                <w:rFonts w:hint="default" w:ascii="Times New Roman" w:hAnsi="Times New Roman" w:cs="Times New Roman"/>
                <w:b/>
                <w:bCs/>
                <w:color w:val="auto"/>
                <w:kern w:val="2"/>
                <w:szCs w:val="21"/>
              </w:rPr>
              <w:t>护措</w:t>
            </w:r>
          </w:p>
          <w:p>
            <w:pPr>
              <w:pStyle w:val="22"/>
              <w:adjustRightInd w:val="0"/>
              <w:snapToGrid w:val="0"/>
              <w:spacing w:before="0" w:beforeAutospacing="0" w:after="0" w:afterAutospacing="0"/>
              <w:ind w:left="113" w:leftChars="50" w:right="113" w:rightChars="50"/>
              <w:jc w:val="center"/>
              <w:rPr>
                <w:rFonts w:hint="default" w:ascii="Times New Roman" w:hAnsi="Times New Roman" w:cs="Times New Roman"/>
                <w:bCs/>
                <w:color w:val="auto"/>
                <w:kern w:val="2"/>
                <w:sz w:val="21"/>
                <w:szCs w:val="21"/>
              </w:rPr>
            </w:pPr>
            <w:r>
              <w:rPr>
                <w:rFonts w:hint="default" w:ascii="Times New Roman" w:hAnsi="Times New Roman" w:cs="Times New Roman"/>
                <w:b/>
                <w:bCs/>
                <w:color w:val="auto"/>
                <w:kern w:val="2"/>
                <w:szCs w:val="21"/>
              </w:rPr>
              <w:t>施</w:t>
            </w:r>
          </w:p>
        </w:tc>
        <w:tc>
          <w:tcPr>
            <w:tcW w:w="9177" w:type="dxa"/>
          </w:tcPr>
          <w:p>
            <w:pPr>
              <w:ind w:firstLine="512"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项目施工期主要包括</w:t>
            </w:r>
            <w:r>
              <w:rPr>
                <w:rFonts w:hint="eastAsia" w:cs="Times New Roman"/>
                <w:color w:val="auto"/>
                <w:sz w:val="24"/>
                <w:szCs w:val="24"/>
                <w:lang w:val="en-US" w:eastAsia="zh-CN"/>
              </w:rPr>
              <w:t>加油站各项设施</w:t>
            </w:r>
            <w:r>
              <w:rPr>
                <w:rFonts w:hint="default" w:ascii="Times New Roman" w:hAnsi="Times New Roman" w:cs="Times New Roman"/>
                <w:color w:val="auto"/>
                <w:sz w:val="24"/>
                <w:szCs w:val="24"/>
              </w:rPr>
              <w:t>的</w:t>
            </w:r>
            <w:r>
              <w:rPr>
                <w:rFonts w:hint="eastAsia" w:cs="Times New Roman"/>
                <w:color w:val="auto"/>
                <w:sz w:val="24"/>
                <w:szCs w:val="24"/>
                <w:lang w:val="en-US" w:eastAsia="zh-CN"/>
              </w:rPr>
              <w:t>安装及</w:t>
            </w:r>
            <w:r>
              <w:rPr>
                <w:rFonts w:hint="default" w:ascii="Times New Roman" w:hAnsi="Times New Roman" w:cs="Times New Roman"/>
                <w:color w:val="auto"/>
                <w:sz w:val="24"/>
                <w:szCs w:val="24"/>
              </w:rPr>
              <w:t>建设。施工期间会对周围的环境造成一定的影响，主要包括</w:t>
            </w:r>
            <w:r>
              <w:rPr>
                <w:rFonts w:hint="eastAsia" w:cs="Times New Roman"/>
                <w:color w:val="auto"/>
                <w:sz w:val="24"/>
                <w:szCs w:val="24"/>
                <w:lang w:val="en-US" w:eastAsia="zh-CN"/>
              </w:rPr>
              <w:t>扬尘</w:t>
            </w:r>
            <w:r>
              <w:rPr>
                <w:rFonts w:hint="default" w:ascii="Times New Roman" w:hAnsi="Times New Roman" w:cs="Times New Roman"/>
                <w:color w:val="auto"/>
                <w:sz w:val="24"/>
                <w:szCs w:val="24"/>
              </w:rPr>
              <w:t>、废水、噪声、固体废物等，而且以施工粉尘和噪声尤为明显。以下就这些污染及其对环境的影响进行分析，并提出相应的防治措施。</w:t>
            </w:r>
          </w:p>
          <w:p>
            <w:pPr>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rPr>
              <w:t>1.1扬尘</w:t>
            </w:r>
            <w:r>
              <w:rPr>
                <w:rFonts w:hint="eastAsia" w:eastAsia="黑体" w:cs="Times New Roman"/>
                <w:color w:val="auto"/>
                <w:sz w:val="24"/>
                <w:szCs w:val="24"/>
                <w:lang w:val="en-US" w:eastAsia="zh-CN"/>
              </w:rPr>
              <w:t>防治措施</w:t>
            </w:r>
          </w:p>
          <w:p>
            <w:pPr>
              <w:ind w:firstLine="512"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主要来源有：①各处理水池的池体建设、配套管道建设及改造过程中，土方的开挖、清理运输、回填时产生的扬尘；②建筑材料的堆放、装卸过程产生的扬尘；③施工垃圾的堆放及装卸过程产生的扬尘；④运输车辆造成的道路扬尘。</w:t>
            </w:r>
          </w:p>
          <w:p>
            <w:pPr>
              <w:ind w:firstLine="512"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抑制扬尘的一个有效措施是洒水，项目采取合理可行的控制措施，尽量减轻其污染程度，缩小其影响范围。其主要对策有：</w:t>
            </w:r>
          </w:p>
          <w:p>
            <w:pPr>
              <w:ind w:firstLine="512"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①对施工现场进行科学管理，砂石料应统一堆放，水泥应设专门库房堆放，减少搬运环节，搬运时轻举轻放，防止包装袋破裂。</w:t>
            </w:r>
          </w:p>
          <w:p>
            <w:pPr>
              <w:ind w:firstLine="512"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②建筑材料和建筑垃圾应及时运走。</w:t>
            </w:r>
          </w:p>
          <w:p>
            <w:pPr>
              <w:ind w:firstLine="512"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③风速过大时应停止施工作业，并对堆放的砂石等建筑材料进行遮盖处理。</w:t>
            </w:r>
          </w:p>
          <w:p>
            <w:pPr>
              <w:ind w:firstLine="512"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④对开挖作业面、堆放的建筑垃圾、材料等表面进行适当洒水抑尘，防止因开挖和建筑垃圾、材料长期堆放、表面干燥引起扬尘。</w:t>
            </w:r>
          </w:p>
          <w:p>
            <w:pPr>
              <w:ind w:firstLine="512"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⑤项目建设期间，对于临时堆场，须采取覆盖防尘布，且定期喷洒粉尘抑制剂，防止风蚀。</w:t>
            </w:r>
          </w:p>
          <w:p>
            <w:pPr>
              <w:ind w:firstLine="512"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总之，只要加强管理、切实落实好这些措施，施工场地扬尘对环境的影响将会大大降低，同时其对环境的影响也将随施工的结束而消失。</w:t>
            </w:r>
          </w:p>
          <w:p>
            <w:pPr>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rPr>
              <w:t>2废水</w:t>
            </w:r>
            <w:r>
              <w:rPr>
                <w:rFonts w:hint="eastAsia" w:eastAsia="黑体" w:cs="Times New Roman"/>
                <w:color w:val="auto"/>
                <w:sz w:val="24"/>
                <w:szCs w:val="24"/>
                <w:lang w:val="en-US" w:eastAsia="zh-CN"/>
              </w:rPr>
              <w:t>防治措施</w:t>
            </w:r>
          </w:p>
          <w:p>
            <w:pPr>
              <w:pStyle w:val="105"/>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本项目施工人员均雇佣周边居民，施工期不设置施工生活区，所以项目施工期产生的废水主要为施工废水。施工废水若不妥善处理将会造成一定的环境污染，因此建议施工期废水做好以下防治措施：</w:t>
            </w:r>
          </w:p>
          <w:p>
            <w:pPr>
              <w:pStyle w:val="105"/>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项目施工期间，施工单位应严格执行《建设工程施工场地文明施工及环境管理暂行规定》，对废水的排放进行组织设计，严禁乱排、乱流污染道路及周边环境；</w:t>
            </w:r>
          </w:p>
          <w:p>
            <w:pPr>
              <w:pStyle w:val="105"/>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施工时产生的废水应设置临时沉淀池，经沉</w:t>
            </w:r>
            <w:r>
              <w:rPr>
                <w:rFonts w:hint="default" w:ascii="Times New Roman" w:hAnsi="Times New Roman" w:eastAsia="宋体" w:cs="Times New Roman"/>
                <w:color w:val="auto"/>
                <w:sz w:val="24"/>
                <w:szCs w:val="24"/>
                <w:lang w:val="en-US" w:eastAsia="zh-CN"/>
              </w:rPr>
              <w:t>淀</w:t>
            </w:r>
            <w:r>
              <w:rPr>
                <w:rFonts w:hint="default" w:ascii="Times New Roman" w:hAnsi="Times New Roman" w:eastAsia="宋体" w:cs="Times New Roman"/>
                <w:color w:val="auto"/>
                <w:sz w:val="24"/>
                <w:szCs w:val="24"/>
              </w:rPr>
              <w:t>池沉淀后回用到场地洒水降尘；</w:t>
            </w:r>
          </w:p>
          <w:p>
            <w:pPr>
              <w:pStyle w:val="105"/>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施工弃渣、泥浆不随意堆置，防止水土流失污染水体。</w:t>
            </w:r>
          </w:p>
          <w:p>
            <w:pPr>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rPr>
              <w:t>3噪声</w:t>
            </w:r>
            <w:r>
              <w:rPr>
                <w:rFonts w:hint="eastAsia" w:eastAsia="黑体" w:cs="Times New Roman"/>
                <w:color w:val="auto"/>
                <w:sz w:val="24"/>
                <w:szCs w:val="24"/>
                <w:lang w:val="en-US" w:eastAsia="zh-CN"/>
              </w:rPr>
              <w:t>防治措施</w:t>
            </w:r>
          </w:p>
          <w:p>
            <w:pPr>
              <w:keepNext w:val="0"/>
              <w:keepLines w:val="0"/>
              <w:pageBreakBefore w:val="0"/>
              <w:widowControl w:val="0"/>
              <w:kinsoku/>
              <w:wordWrap/>
              <w:overflowPunct/>
              <w:topLinePunct w:val="0"/>
              <w:autoSpaceDE/>
              <w:autoSpaceDN/>
              <w:bidi w:val="0"/>
              <w:snapToGrid/>
              <w:spacing w:line="240" w:lineRule="auto"/>
              <w:ind w:firstLine="512"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施工期噪声主要来源于土建工程噪声和运输汽车交通噪声。施工过程中所涉及的机械设备主要有推土机、挖掘机、运输车辆等。</w:t>
            </w:r>
          </w:p>
          <w:p>
            <w:pPr>
              <w:keepNext w:val="0"/>
              <w:keepLines w:val="0"/>
              <w:pageBreakBefore w:val="0"/>
              <w:widowControl w:val="0"/>
              <w:kinsoku/>
              <w:wordWrap/>
              <w:overflowPunct/>
              <w:topLinePunct w:val="0"/>
              <w:autoSpaceDE/>
              <w:autoSpaceDN/>
              <w:bidi w:val="0"/>
              <w:adjustRightInd w:val="0"/>
              <w:snapToGrid/>
              <w:spacing w:line="240" w:lineRule="auto"/>
              <w:ind w:firstLine="512"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为了减轻本项目施工期噪声的环境影响，须采取以下控制措施：</w:t>
            </w:r>
          </w:p>
          <w:p>
            <w:pPr>
              <w:keepNext w:val="0"/>
              <w:keepLines w:val="0"/>
              <w:pageBreakBefore w:val="0"/>
              <w:widowControl w:val="0"/>
              <w:kinsoku/>
              <w:wordWrap/>
              <w:overflowPunct/>
              <w:topLinePunct w:val="0"/>
              <w:autoSpaceDE/>
              <w:autoSpaceDN/>
              <w:bidi w:val="0"/>
              <w:adjustRightInd w:val="0"/>
              <w:snapToGrid/>
              <w:spacing w:line="240" w:lineRule="auto"/>
              <w:ind w:firstLine="512"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合理布局施工现场：避免在同一地点安排大量动力机械设备，以避免局部累积声级过高；</w:t>
            </w:r>
          </w:p>
          <w:p>
            <w:pPr>
              <w:keepNext w:val="0"/>
              <w:keepLines w:val="0"/>
              <w:pageBreakBefore w:val="0"/>
              <w:widowControl w:val="0"/>
              <w:kinsoku/>
              <w:wordWrap/>
              <w:overflowPunct/>
              <w:topLinePunct w:val="0"/>
              <w:autoSpaceDE/>
              <w:autoSpaceDN/>
              <w:bidi w:val="0"/>
              <w:adjustRightInd w:val="0"/>
              <w:snapToGrid/>
              <w:spacing w:line="240" w:lineRule="auto"/>
              <w:ind w:firstLine="512"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合理安排施工时间：制订施工计划时，应尽可能避免大量高噪声设备同时施工；禁止夜间施工；工艺要求的夜间施工必须报请环境保护管理部门同意；</w:t>
            </w:r>
          </w:p>
          <w:p>
            <w:pPr>
              <w:keepNext w:val="0"/>
              <w:keepLines w:val="0"/>
              <w:pageBreakBefore w:val="0"/>
              <w:widowControl w:val="0"/>
              <w:kinsoku/>
              <w:wordWrap/>
              <w:overflowPunct/>
              <w:topLinePunct w:val="0"/>
              <w:autoSpaceDE/>
              <w:autoSpaceDN/>
              <w:bidi w:val="0"/>
              <w:adjustRightInd w:val="0"/>
              <w:snapToGrid/>
              <w:spacing w:line="240" w:lineRule="auto"/>
              <w:ind w:firstLine="512"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施工时采用降噪作业方式：施工机械选型时尽量选用可替代的低噪声的设备，对动力机械设备进行定期的维修、养护，避免设备因松动部件的振动或消音器的损坏而增加其工作时的声压级；设备用完后或不用时应立即关闭；</w:t>
            </w:r>
          </w:p>
          <w:p>
            <w:pPr>
              <w:keepNext w:val="0"/>
              <w:keepLines w:val="0"/>
              <w:pageBreakBefore w:val="0"/>
              <w:widowControl w:val="0"/>
              <w:kinsoku/>
              <w:wordWrap/>
              <w:overflowPunct/>
              <w:topLinePunct w:val="0"/>
              <w:autoSpaceDE/>
              <w:autoSpaceDN/>
              <w:bidi w:val="0"/>
              <w:adjustRightInd w:val="0"/>
              <w:snapToGrid/>
              <w:spacing w:line="240" w:lineRule="auto"/>
              <w:ind w:firstLine="512"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降低人为噪声：按规定操作机械设备，管道装卸过程中，尽量减少碰撞声音；尽量少用哨子、笛等指挥作业；</w:t>
            </w:r>
          </w:p>
          <w:p>
            <w:pPr>
              <w:keepNext w:val="0"/>
              <w:keepLines w:val="0"/>
              <w:pageBreakBefore w:val="0"/>
              <w:widowControl w:val="0"/>
              <w:kinsoku/>
              <w:wordWrap/>
              <w:overflowPunct/>
              <w:topLinePunct w:val="0"/>
              <w:autoSpaceDE/>
              <w:autoSpaceDN/>
              <w:bidi w:val="0"/>
              <w:adjustRightInd w:val="0"/>
              <w:snapToGrid/>
              <w:spacing w:line="240" w:lineRule="auto"/>
              <w:ind w:firstLine="512"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设立禁止汽车鸣笛标志，控制汽车鸣笛。</w:t>
            </w:r>
          </w:p>
          <w:p>
            <w:pPr>
              <w:keepNext w:val="0"/>
              <w:keepLines w:val="0"/>
              <w:pageBreakBefore w:val="0"/>
              <w:widowControl w:val="0"/>
              <w:kinsoku/>
              <w:wordWrap/>
              <w:overflowPunct/>
              <w:topLinePunct w:val="0"/>
              <w:autoSpaceDE/>
              <w:autoSpaceDN/>
              <w:bidi w:val="0"/>
              <w:adjustRightInd w:val="0"/>
              <w:snapToGrid/>
              <w:spacing w:line="240" w:lineRule="auto"/>
              <w:ind w:firstLine="512"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采取以上措施后，本项目施工期噪声对周围环境影响较小。</w:t>
            </w:r>
          </w:p>
          <w:p>
            <w:pPr>
              <w:keepNext/>
              <w:keepLines/>
              <w:pageBreakBefore w:val="0"/>
              <w:widowControl w:val="0"/>
              <w:kinsoku/>
              <w:wordWrap/>
              <w:overflowPunct/>
              <w:topLinePunct w:val="0"/>
              <w:autoSpaceDE/>
              <w:autoSpaceDN/>
              <w:bidi w:val="0"/>
              <w:adjustRightInd w:val="0"/>
              <w:snapToGrid/>
              <w:spacing w:line="240" w:lineRule="auto"/>
              <w:jc w:val="left"/>
              <w:textAlignment w:val="auto"/>
              <w:outlineLvl w:val="1"/>
              <w:rPr>
                <w:rFonts w:hint="eastAsia"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rPr>
              <w:t>4固体废物</w:t>
            </w:r>
            <w:r>
              <w:rPr>
                <w:rFonts w:hint="eastAsia" w:eastAsia="黑体" w:cs="Times New Roman"/>
                <w:color w:val="auto"/>
                <w:sz w:val="24"/>
                <w:szCs w:val="24"/>
                <w:lang w:val="en-US" w:eastAsia="zh-CN"/>
              </w:rPr>
              <w:t>防治措施</w:t>
            </w:r>
          </w:p>
          <w:p>
            <w:pPr>
              <w:pStyle w:val="43"/>
              <w:ind w:firstLine="514"/>
              <w:rPr>
                <w:rFonts w:hint="default" w:ascii="Times New Roman" w:hAnsi="Times New Roman" w:cs="Times New Roman"/>
                <w:color w:val="auto"/>
              </w:rPr>
            </w:pPr>
            <w:r>
              <w:rPr>
                <w:rFonts w:hint="default" w:ascii="Times New Roman" w:hAnsi="Times New Roman" w:cs="Times New Roman"/>
                <w:color w:val="auto"/>
              </w:rPr>
              <w:t>施工期固体废物主要来源于两个方面，一是施工废物，主要包括撒落沙石料、破碎块料、混凝土等；二是生活垃圾，易招引蚊蝇，如不及时清运，将对周围环境造成一定影响，项目施工期固体废物防治采取的措施有：</w:t>
            </w:r>
          </w:p>
          <w:p>
            <w:pPr>
              <w:pStyle w:val="43"/>
              <w:ind w:firstLine="514"/>
              <w:rPr>
                <w:rFonts w:hint="default" w:ascii="Times New Roman" w:hAnsi="Times New Roman" w:cs="Times New Roman"/>
                <w:color w:val="auto"/>
              </w:rPr>
            </w:pPr>
            <w:r>
              <w:rPr>
                <w:rFonts w:hint="default" w:ascii="Times New Roman" w:hAnsi="Times New Roman" w:cs="Times New Roman"/>
                <w:color w:val="auto"/>
              </w:rPr>
              <w:t>针对项目特点，项目施工期采取如下固废防治措施：</w:t>
            </w:r>
          </w:p>
          <w:p>
            <w:pPr>
              <w:pStyle w:val="43"/>
              <w:ind w:firstLine="514"/>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rPr>
              <w:t>在施工过程中产生的废包装袋、废建材等建筑垃圾，项目建设单位和施工单位应加强管理，做好防尘和清运工作。</w:t>
            </w:r>
          </w:p>
          <w:p>
            <w:pPr>
              <w:pStyle w:val="43"/>
              <w:ind w:firstLine="514"/>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rPr>
              <w:t>建筑垃圾必须按环境卫生管理条例的有关规定进行处置，不能随意抛弃、转移和扩散，更不能向居民区附近转移，应采取有计划的堆放，按要求分类处置、综合回收利用后运到指定点处置，严禁乱堆乱放。</w:t>
            </w:r>
          </w:p>
          <w:p>
            <w:pPr>
              <w:pStyle w:val="43"/>
              <w:ind w:firstLine="514"/>
              <w:rPr>
                <w:rFonts w:hint="eastAsia" w:ascii="Times New Roman" w:hAnsi="Times New Roman" w:eastAsia="宋体"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w:t>
            </w:r>
            <w:r>
              <w:rPr>
                <w:rFonts w:hint="default" w:ascii="Times New Roman" w:hAnsi="Times New Roman" w:cs="Times New Roman"/>
                <w:color w:val="auto"/>
              </w:rPr>
              <w:t>生活垃圾应定点堆放，及时清运，送往垃圾填埋场填埋处理</w:t>
            </w:r>
            <w:r>
              <w:rPr>
                <w:rFonts w:hint="eastAsia" w:cs="Times New Roman"/>
                <w:color w:val="auto"/>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dxa"/>
            <w:tcMar>
              <w:left w:w="28" w:type="dxa"/>
              <w:right w:w="28" w:type="dxa"/>
            </w:tcMar>
            <w:vAlign w:val="center"/>
          </w:tcPr>
          <w:p>
            <w:pPr>
              <w:adjustRightInd w:val="0"/>
              <w:snapToGrid w:val="0"/>
              <w:jc w:val="center"/>
              <w:rPr>
                <w:rFonts w:hint="default" w:ascii="Times New Roman" w:hAnsi="Times New Roman" w:cs="Times New Roman"/>
                <w:b/>
                <w:color w:val="auto"/>
                <w:sz w:val="24"/>
                <w:szCs w:val="21"/>
              </w:rPr>
            </w:pPr>
            <w:r>
              <w:rPr>
                <w:rFonts w:hint="default" w:ascii="Times New Roman" w:hAnsi="Times New Roman" w:cs="Times New Roman"/>
                <w:b/>
                <w:color w:val="auto"/>
                <w:sz w:val="24"/>
                <w:szCs w:val="21"/>
              </w:rPr>
              <w:t>运</w:t>
            </w:r>
          </w:p>
          <w:p>
            <w:pPr>
              <w:adjustRightInd w:val="0"/>
              <w:snapToGrid w:val="0"/>
              <w:jc w:val="center"/>
              <w:rPr>
                <w:rFonts w:hint="default" w:ascii="Times New Roman" w:hAnsi="Times New Roman" w:cs="Times New Roman"/>
                <w:b/>
                <w:color w:val="auto"/>
                <w:sz w:val="24"/>
                <w:szCs w:val="21"/>
              </w:rPr>
            </w:pPr>
            <w:r>
              <w:rPr>
                <w:rFonts w:hint="default" w:ascii="Times New Roman" w:hAnsi="Times New Roman" w:cs="Times New Roman"/>
                <w:b/>
                <w:color w:val="auto"/>
                <w:sz w:val="24"/>
                <w:szCs w:val="21"/>
              </w:rPr>
              <w:t>营</w:t>
            </w:r>
          </w:p>
          <w:p>
            <w:pPr>
              <w:adjustRightInd w:val="0"/>
              <w:snapToGrid w:val="0"/>
              <w:jc w:val="center"/>
              <w:rPr>
                <w:rFonts w:hint="default" w:ascii="Times New Roman" w:hAnsi="Times New Roman" w:cs="Times New Roman"/>
                <w:b/>
                <w:color w:val="auto"/>
                <w:sz w:val="24"/>
                <w:szCs w:val="21"/>
              </w:rPr>
            </w:pPr>
            <w:r>
              <w:rPr>
                <w:rFonts w:hint="default" w:ascii="Times New Roman" w:hAnsi="Times New Roman" w:cs="Times New Roman"/>
                <w:b/>
                <w:color w:val="auto"/>
                <w:sz w:val="24"/>
                <w:szCs w:val="21"/>
              </w:rPr>
              <w:t>期</w:t>
            </w:r>
          </w:p>
          <w:p>
            <w:pPr>
              <w:adjustRightInd w:val="0"/>
              <w:snapToGrid w:val="0"/>
              <w:jc w:val="center"/>
              <w:rPr>
                <w:rFonts w:hint="default" w:ascii="Times New Roman" w:hAnsi="Times New Roman" w:cs="Times New Roman"/>
                <w:b/>
                <w:color w:val="auto"/>
                <w:sz w:val="24"/>
                <w:szCs w:val="21"/>
              </w:rPr>
            </w:pPr>
            <w:r>
              <w:rPr>
                <w:rFonts w:hint="default" w:ascii="Times New Roman" w:hAnsi="Times New Roman" w:cs="Times New Roman"/>
                <w:b/>
                <w:color w:val="auto"/>
                <w:sz w:val="24"/>
                <w:szCs w:val="21"/>
              </w:rPr>
              <w:t>环</w:t>
            </w:r>
          </w:p>
          <w:p>
            <w:pPr>
              <w:adjustRightInd w:val="0"/>
              <w:snapToGrid w:val="0"/>
              <w:jc w:val="center"/>
              <w:rPr>
                <w:rFonts w:hint="default" w:ascii="Times New Roman" w:hAnsi="Times New Roman" w:cs="Times New Roman"/>
                <w:b/>
                <w:color w:val="auto"/>
                <w:sz w:val="24"/>
                <w:szCs w:val="21"/>
              </w:rPr>
            </w:pPr>
            <w:r>
              <w:rPr>
                <w:rFonts w:hint="default" w:ascii="Times New Roman" w:hAnsi="Times New Roman" w:cs="Times New Roman"/>
                <w:b/>
                <w:color w:val="auto"/>
                <w:sz w:val="24"/>
                <w:szCs w:val="21"/>
              </w:rPr>
              <w:t>境</w:t>
            </w:r>
          </w:p>
          <w:p>
            <w:pPr>
              <w:adjustRightInd w:val="0"/>
              <w:snapToGrid w:val="0"/>
              <w:jc w:val="center"/>
              <w:rPr>
                <w:rFonts w:hint="default" w:ascii="Times New Roman" w:hAnsi="Times New Roman" w:cs="Times New Roman"/>
                <w:b/>
                <w:color w:val="auto"/>
                <w:sz w:val="24"/>
                <w:szCs w:val="21"/>
              </w:rPr>
            </w:pPr>
            <w:r>
              <w:rPr>
                <w:rFonts w:hint="default" w:ascii="Times New Roman" w:hAnsi="Times New Roman" w:cs="Times New Roman"/>
                <w:b/>
                <w:color w:val="auto"/>
                <w:sz w:val="24"/>
                <w:szCs w:val="21"/>
              </w:rPr>
              <w:t>影</w:t>
            </w:r>
          </w:p>
          <w:p>
            <w:pPr>
              <w:adjustRightInd w:val="0"/>
              <w:snapToGrid w:val="0"/>
              <w:jc w:val="center"/>
              <w:rPr>
                <w:rFonts w:hint="default" w:ascii="Times New Roman" w:hAnsi="Times New Roman" w:cs="Times New Roman"/>
                <w:b/>
                <w:color w:val="auto"/>
                <w:sz w:val="24"/>
                <w:szCs w:val="21"/>
              </w:rPr>
            </w:pPr>
            <w:r>
              <w:rPr>
                <w:rFonts w:hint="default" w:ascii="Times New Roman" w:hAnsi="Times New Roman" w:cs="Times New Roman"/>
                <w:b/>
                <w:color w:val="auto"/>
                <w:sz w:val="24"/>
                <w:szCs w:val="21"/>
              </w:rPr>
              <w:t>响</w:t>
            </w:r>
          </w:p>
          <w:p>
            <w:pPr>
              <w:adjustRightInd w:val="0"/>
              <w:snapToGrid w:val="0"/>
              <w:jc w:val="center"/>
              <w:rPr>
                <w:rFonts w:hint="default" w:ascii="Times New Roman" w:hAnsi="Times New Roman" w:cs="Times New Roman"/>
                <w:b/>
                <w:color w:val="auto"/>
                <w:sz w:val="24"/>
                <w:szCs w:val="21"/>
              </w:rPr>
            </w:pPr>
            <w:r>
              <w:rPr>
                <w:rFonts w:hint="default" w:ascii="Times New Roman" w:hAnsi="Times New Roman" w:cs="Times New Roman"/>
                <w:b/>
                <w:color w:val="auto"/>
                <w:sz w:val="24"/>
                <w:szCs w:val="21"/>
              </w:rPr>
              <w:t>和</w:t>
            </w:r>
          </w:p>
          <w:p>
            <w:pPr>
              <w:adjustRightInd w:val="0"/>
              <w:snapToGrid w:val="0"/>
              <w:jc w:val="center"/>
              <w:rPr>
                <w:rFonts w:hint="default" w:ascii="Times New Roman" w:hAnsi="Times New Roman" w:cs="Times New Roman"/>
                <w:b/>
                <w:color w:val="auto"/>
                <w:sz w:val="24"/>
                <w:szCs w:val="21"/>
              </w:rPr>
            </w:pPr>
            <w:r>
              <w:rPr>
                <w:rFonts w:hint="default" w:ascii="Times New Roman" w:hAnsi="Times New Roman" w:cs="Times New Roman"/>
                <w:b/>
                <w:color w:val="auto"/>
                <w:sz w:val="24"/>
                <w:szCs w:val="21"/>
              </w:rPr>
              <w:t>保</w:t>
            </w:r>
          </w:p>
          <w:p>
            <w:pPr>
              <w:adjustRightInd w:val="0"/>
              <w:snapToGrid w:val="0"/>
              <w:jc w:val="center"/>
              <w:rPr>
                <w:rFonts w:hint="default" w:ascii="Times New Roman" w:hAnsi="Times New Roman" w:cs="Times New Roman"/>
                <w:b/>
                <w:color w:val="auto"/>
                <w:sz w:val="24"/>
                <w:szCs w:val="21"/>
              </w:rPr>
            </w:pPr>
            <w:r>
              <w:rPr>
                <w:rFonts w:hint="default" w:ascii="Times New Roman" w:hAnsi="Times New Roman" w:cs="Times New Roman"/>
                <w:b/>
                <w:color w:val="auto"/>
                <w:sz w:val="24"/>
                <w:szCs w:val="21"/>
              </w:rPr>
              <w:t>护</w:t>
            </w:r>
          </w:p>
          <w:p>
            <w:pPr>
              <w:adjustRightInd w:val="0"/>
              <w:snapToGrid w:val="0"/>
              <w:jc w:val="center"/>
              <w:rPr>
                <w:rFonts w:hint="default" w:ascii="Times New Roman" w:hAnsi="Times New Roman" w:cs="Times New Roman"/>
                <w:b/>
                <w:color w:val="auto"/>
                <w:sz w:val="24"/>
                <w:szCs w:val="21"/>
              </w:rPr>
            </w:pPr>
            <w:r>
              <w:rPr>
                <w:rFonts w:hint="default" w:ascii="Times New Roman" w:hAnsi="Times New Roman" w:cs="Times New Roman"/>
                <w:b/>
                <w:color w:val="auto"/>
                <w:sz w:val="24"/>
                <w:szCs w:val="21"/>
              </w:rPr>
              <w:t>措</w:t>
            </w:r>
          </w:p>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
                <w:color w:val="auto"/>
                <w:sz w:val="24"/>
                <w:szCs w:val="21"/>
              </w:rPr>
              <w:t>施</w:t>
            </w:r>
          </w:p>
        </w:tc>
        <w:tc>
          <w:tcPr>
            <w:tcW w:w="9177" w:type="dxa"/>
            <w:vAlign w:val="center"/>
          </w:tcPr>
          <w:p>
            <w:pPr>
              <w:jc w:val="left"/>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1废气</w:t>
            </w:r>
          </w:p>
          <w:p>
            <w:pPr>
              <w:jc w:val="left"/>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1.1污染物产排情况</w:t>
            </w:r>
          </w:p>
          <w:p>
            <w:pPr>
              <w:pStyle w:val="25"/>
              <w:keepNext w:val="0"/>
              <w:keepLines w:val="0"/>
              <w:pageBreakBefore w:val="0"/>
              <w:widowControl/>
              <w:kinsoku/>
              <w:wordWrap/>
              <w:overflowPunct/>
              <w:topLinePunct w:val="0"/>
              <w:autoSpaceDE/>
              <w:autoSpaceDN/>
              <w:bidi w:val="0"/>
              <w:adjustRightInd/>
              <w:snapToGrid/>
              <w:spacing w:before="0" w:after="0" w:line="240" w:lineRule="auto"/>
              <w:ind w:right="0" w:firstLine="512"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项目油品主要包括汽油和柴油，油品的卸车、储存和销售过程中，均会挥发出一定的废气，主要成分为非甲烷总烃。</w:t>
            </w:r>
          </w:p>
          <w:p>
            <w:pPr>
              <w:pStyle w:val="25"/>
              <w:keepNext w:val="0"/>
              <w:keepLines w:val="0"/>
              <w:pageBreakBefore w:val="0"/>
              <w:widowControl/>
              <w:kinsoku/>
              <w:wordWrap/>
              <w:overflowPunct/>
              <w:topLinePunct w:val="0"/>
              <w:autoSpaceDE/>
              <w:autoSpaceDN/>
              <w:bidi w:val="0"/>
              <w:adjustRightInd/>
              <w:snapToGrid/>
              <w:spacing w:before="0" w:after="0" w:line="240" w:lineRule="auto"/>
              <w:ind w:right="0" w:firstLine="512"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（1）油罐车卸料时油气挥发</w:t>
            </w:r>
          </w:p>
          <w:p>
            <w:pPr>
              <w:pStyle w:val="22"/>
              <w:widowControl w:val="0"/>
              <w:spacing w:before="0" w:beforeAutospacing="0" w:after="0" w:afterAutospacing="0"/>
              <w:ind w:firstLine="512" w:firstLineChars="200"/>
              <w:jc w:val="both"/>
              <w:rPr>
                <w:rFonts w:hint="default" w:ascii="Times New Roman" w:hAnsi="Times New Roman" w:cs="Times New Roman"/>
                <w:color w:val="auto"/>
              </w:rPr>
            </w:pPr>
            <w:r>
              <w:rPr>
                <w:rFonts w:hint="default" w:ascii="Times New Roman" w:hAnsi="Times New Roman" w:cs="Times New Roman"/>
                <w:color w:val="auto"/>
                <w:kern w:val="44"/>
                <w:lang w:bidi="ar"/>
              </w:rPr>
              <w:t>项目卸油过程采用槽车进行装料，其工作时废气排放量计算如下：</w:t>
            </w:r>
          </w:p>
          <w:p>
            <w:pPr>
              <w:pStyle w:val="22"/>
              <w:widowControl w:val="0"/>
              <w:spacing w:before="0" w:beforeAutospacing="0" w:after="0" w:afterAutospacing="0"/>
              <w:jc w:val="center"/>
              <w:rPr>
                <w:rFonts w:hint="default" w:ascii="Times New Roman" w:hAnsi="Times New Roman" w:cs="Times New Roman"/>
                <w:color w:val="auto"/>
              </w:rPr>
            </w:pPr>
            <w:r>
              <w:rPr>
                <w:rFonts w:hint="default" w:ascii="Times New Roman" w:hAnsi="Times New Roman" w:cs="Times New Roman"/>
                <w:color w:val="auto"/>
                <w:kern w:val="44"/>
                <w:lang w:bidi="ar"/>
              </w:rPr>
              <w:object>
                <v:shape id="_x0000_i1026" o:spt="75" type="#_x0000_t75" style="height:30.75pt;width:90.75pt;" o:ole="t" filled="f" o:preferrelative="t" stroked="f" coordsize="21600,21600">
                  <v:path/>
                  <v:fill on="f" focussize="0,0"/>
                  <v:stroke on="f"/>
                  <v:imagedata r:id="rId11" o:title=""/>
                  <o:lock v:ext="edit" aspectratio="t"/>
                  <w10:wrap type="none"/>
                  <w10:anchorlock/>
                </v:shape>
                <o:OLEObject Type="Embed" ProgID="Equation.3" ShapeID="_x0000_i1026" DrawAspect="Content" ObjectID="_1468075726" r:id="rId10">
                  <o:LockedField>false</o:LockedField>
                </o:OLEObject>
              </w:object>
            </w:r>
          </w:p>
          <w:p>
            <w:pPr>
              <w:pStyle w:val="22"/>
              <w:widowControl w:val="0"/>
              <w:spacing w:before="0" w:beforeAutospacing="0" w:after="0" w:afterAutospacing="0"/>
              <w:ind w:left="1220" w:leftChars="200" w:hanging="768" w:hangingChars="300"/>
              <w:jc w:val="both"/>
              <w:rPr>
                <w:rFonts w:hint="default" w:ascii="Times New Roman" w:hAnsi="Times New Roman" w:cs="Times New Roman"/>
                <w:color w:val="auto"/>
                <w:kern w:val="44"/>
                <w:lang w:bidi="ar"/>
              </w:rPr>
            </w:pPr>
            <w:r>
              <w:rPr>
                <w:rFonts w:hint="default" w:ascii="Times New Roman" w:hAnsi="Times New Roman" w:cs="Times New Roman"/>
                <w:color w:val="auto"/>
                <w:kern w:val="44"/>
                <w:lang w:bidi="ar"/>
              </w:rPr>
              <w:t>式中：L</w:t>
            </w:r>
            <w:r>
              <w:rPr>
                <w:rFonts w:hint="default" w:ascii="Times New Roman" w:hAnsi="Times New Roman" w:cs="Times New Roman"/>
                <w:color w:val="auto"/>
                <w:kern w:val="44"/>
                <w:vertAlign w:val="subscript"/>
                <w:lang w:bidi="ar"/>
              </w:rPr>
              <w:t>L</w:t>
            </w:r>
            <w:r>
              <w:rPr>
                <w:rFonts w:hint="default" w:ascii="Times New Roman" w:hAnsi="Times New Roman" w:cs="Times New Roman"/>
                <w:color w:val="auto"/>
                <w:kern w:val="44"/>
                <w:lang w:bidi="ar"/>
              </w:rPr>
              <w:t>—装卸料损失，磅/10</w:t>
            </w:r>
            <w:r>
              <w:rPr>
                <w:rFonts w:hint="default" w:ascii="Times New Roman" w:hAnsi="Times New Roman" w:cs="Times New Roman"/>
                <w:color w:val="auto"/>
                <w:kern w:val="44"/>
                <w:vertAlign w:val="superscript"/>
                <w:lang w:bidi="ar"/>
              </w:rPr>
              <w:t>3</w:t>
            </w:r>
            <w:r>
              <w:rPr>
                <w:rFonts w:hint="default" w:ascii="Times New Roman" w:hAnsi="Times New Roman" w:cs="Times New Roman"/>
                <w:color w:val="auto"/>
                <w:kern w:val="44"/>
                <w:lang w:bidi="ar"/>
              </w:rPr>
              <w:t>加仑装入液体，此值乘以0.12，转化为kg/m</w:t>
            </w:r>
            <w:r>
              <w:rPr>
                <w:rFonts w:hint="default" w:ascii="Times New Roman" w:hAnsi="Times New Roman" w:cs="Times New Roman"/>
                <w:color w:val="auto"/>
                <w:kern w:val="44"/>
                <w:vertAlign w:val="superscript"/>
                <w:lang w:bidi="ar"/>
              </w:rPr>
              <w:t>3</w:t>
            </w:r>
            <w:r>
              <w:rPr>
                <w:rFonts w:hint="default" w:ascii="Times New Roman" w:hAnsi="Times New Roman" w:cs="Times New Roman"/>
                <w:color w:val="auto"/>
                <w:kern w:val="44"/>
                <w:lang w:bidi="ar"/>
              </w:rPr>
              <w:t>；</w:t>
            </w:r>
          </w:p>
          <w:p>
            <w:pPr>
              <w:pStyle w:val="22"/>
              <w:widowControl w:val="0"/>
              <w:spacing w:before="0" w:beforeAutospacing="0" w:after="0" w:afterAutospacing="0"/>
              <w:ind w:left="1130" w:leftChars="500"/>
              <w:jc w:val="both"/>
              <w:rPr>
                <w:rFonts w:hint="default" w:ascii="Times New Roman" w:hAnsi="Times New Roman" w:cs="Times New Roman"/>
                <w:color w:val="auto"/>
                <w:kern w:val="44"/>
                <w:lang w:bidi="ar"/>
              </w:rPr>
            </w:pPr>
            <w:r>
              <w:rPr>
                <w:rFonts w:hint="default" w:ascii="Times New Roman" w:hAnsi="Times New Roman" w:cs="Times New Roman"/>
                <w:color w:val="auto"/>
                <w:kern w:val="44"/>
                <w:lang w:bidi="ar"/>
              </w:rPr>
              <w:t>M—蒸气的分子量，磅/磅分子；</w:t>
            </w:r>
          </w:p>
          <w:p>
            <w:pPr>
              <w:pStyle w:val="22"/>
              <w:widowControl w:val="0"/>
              <w:spacing w:before="0" w:beforeAutospacing="0" w:after="0" w:afterAutospacing="0"/>
              <w:ind w:left="1130" w:leftChars="500"/>
              <w:jc w:val="both"/>
              <w:rPr>
                <w:rFonts w:hint="default" w:ascii="Times New Roman" w:hAnsi="Times New Roman" w:cs="Times New Roman"/>
                <w:color w:val="auto"/>
                <w:kern w:val="44"/>
                <w:lang w:bidi="ar"/>
              </w:rPr>
            </w:pPr>
            <w:r>
              <w:rPr>
                <w:rFonts w:hint="default" w:ascii="Times New Roman" w:hAnsi="Times New Roman" w:cs="Times New Roman"/>
                <w:color w:val="auto"/>
                <w:kern w:val="44"/>
                <w:lang w:bidi="ar"/>
              </w:rPr>
              <w:t>P—装载液体的真是蒸汽压力，磅/时</w:t>
            </w:r>
            <w:r>
              <w:rPr>
                <w:rFonts w:hint="default" w:ascii="Times New Roman" w:hAnsi="Times New Roman" w:cs="Times New Roman"/>
                <w:color w:val="auto"/>
                <w:kern w:val="44"/>
                <w:vertAlign w:val="superscript"/>
                <w:lang w:bidi="ar"/>
              </w:rPr>
              <w:t>2</w:t>
            </w:r>
            <w:r>
              <w:rPr>
                <w:rFonts w:hint="default" w:ascii="Times New Roman" w:hAnsi="Times New Roman" w:cs="Times New Roman"/>
                <w:color w:val="auto"/>
                <w:kern w:val="44"/>
                <w:lang w:bidi="ar"/>
              </w:rPr>
              <w:t>绝对压力；</w:t>
            </w:r>
          </w:p>
          <w:p>
            <w:pPr>
              <w:pStyle w:val="22"/>
              <w:widowControl w:val="0"/>
              <w:spacing w:before="0" w:beforeAutospacing="0" w:after="0" w:afterAutospacing="0"/>
              <w:ind w:left="1130" w:leftChars="500"/>
              <w:jc w:val="both"/>
              <w:rPr>
                <w:rFonts w:hint="default" w:ascii="Times New Roman" w:hAnsi="Times New Roman" w:cs="Times New Roman"/>
                <w:color w:val="auto"/>
                <w:kern w:val="44"/>
                <w:lang w:bidi="ar"/>
              </w:rPr>
            </w:pPr>
            <w:r>
              <w:rPr>
                <w:rFonts w:hint="default" w:ascii="Times New Roman" w:hAnsi="Times New Roman" w:cs="Times New Roman"/>
                <w:color w:val="auto"/>
                <w:kern w:val="44"/>
                <w:lang w:bidi="ar"/>
              </w:rPr>
              <w:t>T—装载液体的批量温度，</w:t>
            </w:r>
            <w:r>
              <w:rPr>
                <w:rFonts w:hint="default" w:ascii="Times New Roman" w:hAnsi="Times New Roman" w:cs="Times New Roman"/>
                <w:color w:val="auto"/>
                <w:kern w:val="44"/>
                <w:vertAlign w:val="superscript"/>
                <w:lang w:bidi="ar"/>
              </w:rPr>
              <w:t>·</w:t>
            </w:r>
            <w:r>
              <w:rPr>
                <w:rFonts w:hint="default" w:ascii="Times New Roman" w:hAnsi="Times New Roman" w:cs="Times New Roman"/>
                <w:color w:val="auto"/>
                <w:kern w:val="44"/>
                <w:lang w:bidi="ar"/>
              </w:rPr>
              <w:t>F；</w:t>
            </w:r>
          </w:p>
          <w:p>
            <w:pPr>
              <w:pStyle w:val="22"/>
              <w:widowControl w:val="0"/>
              <w:spacing w:before="0" w:beforeAutospacing="0" w:after="0" w:afterAutospacing="0"/>
              <w:ind w:left="1130" w:leftChars="500"/>
              <w:jc w:val="both"/>
              <w:rPr>
                <w:rFonts w:hint="default" w:ascii="Times New Roman" w:hAnsi="Times New Roman" w:cs="Times New Roman"/>
                <w:color w:val="auto"/>
              </w:rPr>
            </w:pPr>
            <w:r>
              <w:rPr>
                <w:rFonts w:hint="default" w:ascii="Times New Roman" w:hAnsi="Times New Roman" w:cs="Times New Roman"/>
                <w:color w:val="auto"/>
                <w:kern w:val="44"/>
                <w:lang w:bidi="ar"/>
              </w:rPr>
              <w:t>S—饱和因子。</w:t>
            </w:r>
          </w:p>
          <w:p>
            <w:pPr>
              <w:pStyle w:val="22"/>
              <w:widowControl w:val="0"/>
              <w:spacing w:before="0" w:beforeAutospacing="0" w:after="0" w:afterAutospacing="0"/>
              <w:ind w:firstLine="512" w:firstLineChars="200"/>
              <w:jc w:val="both"/>
              <w:rPr>
                <w:rFonts w:hint="default" w:ascii="Times New Roman" w:hAnsi="Times New Roman" w:cs="Times New Roman"/>
                <w:color w:val="auto"/>
              </w:rPr>
            </w:pPr>
            <w:r>
              <w:rPr>
                <w:rFonts w:hint="default" w:ascii="Times New Roman" w:hAnsi="Times New Roman" w:cs="Times New Roman"/>
                <w:color w:val="auto"/>
                <w:kern w:val="44"/>
                <w:lang w:bidi="ar"/>
              </w:rPr>
              <w:t>本项目建成后主要为成品汽油和柴油销售。项目槽车装卸料计算参数取值如下：</w:t>
            </w:r>
          </w:p>
          <w:p>
            <w:pPr>
              <w:pStyle w:val="22"/>
              <w:widowControl w:val="0"/>
              <w:spacing w:before="0" w:beforeAutospacing="0" w:after="0" w:afterAutospacing="0"/>
              <w:jc w:val="center"/>
              <w:rPr>
                <w:rFonts w:hint="default" w:ascii="Times New Roman" w:hAnsi="Times New Roman" w:cs="Times New Roman"/>
                <w:color w:val="auto"/>
              </w:rPr>
            </w:pPr>
            <w:r>
              <w:rPr>
                <w:rFonts w:hint="default" w:ascii="Times New Roman" w:hAnsi="Times New Roman" w:eastAsia="黑体" w:cs="Times New Roman"/>
                <w:color w:val="auto"/>
                <w:kern w:val="44"/>
                <w:lang w:bidi="ar"/>
              </w:rPr>
              <w:t>表</w:t>
            </w:r>
            <w:r>
              <w:rPr>
                <w:rFonts w:hint="default" w:ascii="Times New Roman" w:hAnsi="Times New Roman" w:eastAsia="黑体" w:cs="Times New Roman"/>
                <w:color w:val="auto"/>
                <w:kern w:val="44"/>
                <w:lang w:val="en-US" w:eastAsia="zh-CN" w:bidi="ar"/>
              </w:rPr>
              <w:t>4-1</w:t>
            </w:r>
            <w:r>
              <w:rPr>
                <w:rFonts w:hint="default" w:ascii="Times New Roman" w:hAnsi="Times New Roman" w:eastAsia="黑体" w:cs="Times New Roman"/>
                <w:color w:val="auto"/>
                <w:kern w:val="44"/>
                <w:lang w:bidi="ar"/>
              </w:rPr>
              <w:t xml:space="preserve">  装卸料槽车计算参数取值</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11"/>
              <w:gridCol w:w="1703"/>
              <w:gridCol w:w="2183"/>
              <w:gridCol w:w="1550"/>
              <w:gridCol w:w="18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4" w:type="dxa"/>
                  <w:tcBorders>
                    <w:tl2br w:val="nil"/>
                    <w:tr2bl w:val="nil"/>
                  </w:tcBorders>
                  <w:noWrap w:val="0"/>
                  <w:vAlign w:val="center"/>
                </w:tcPr>
                <w:p>
                  <w:pPr>
                    <w:pStyle w:val="22"/>
                    <w:widowControl w:val="0"/>
                    <w:snapToGrid w:val="0"/>
                    <w:spacing w:before="0" w:beforeAutospacing="0" w:after="0" w:afterAutospacing="0"/>
                    <w:jc w:val="center"/>
                    <w:rPr>
                      <w:rFonts w:hint="default" w:ascii="Times New Roman" w:hAnsi="Times New Roman" w:cs="Times New Roman"/>
                      <w:b/>
                      <w:color w:val="auto"/>
                      <w:sz w:val="21"/>
                      <w:szCs w:val="21"/>
                    </w:rPr>
                  </w:pPr>
                  <w:r>
                    <w:rPr>
                      <w:rFonts w:hint="default" w:ascii="Times New Roman" w:hAnsi="Times New Roman" w:cs="Times New Roman"/>
                      <w:b/>
                      <w:color w:val="auto"/>
                      <w:kern w:val="44"/>
                      <w:sz w:val="21"/>
                      <w:szCs w:val="21"/>
                      <w:lang w:bidi="ar"/>
                    </w:rPr>
                    <w:t>产品</w:t>
                  </w:r>
                </w:p>
              </w:tc>
              <w:tc>
                <w:tcPr>
                  <w:tcW w:w="1705" w:type="dxa"/>
                  <w:tcBorders>
                    <w:tl2br w:val="nil"/>
                    <w:tr2bl w:val="nil"/>
                  </w:tcBorders>
                  <w:noWrap w:val="0"/>
                  <w:vAlign w:val="center"/>
                </w:tcPr>
                <w:p>
                  <w:pPr>
                    <w:pStyle w:val="22"/>
                    <w:widowControl w:val="0"/>
                    <w:snapToGrid w:val="0"/>
                    <w:spacing w:before="0" w:beforeAutospacing="0" w:after="0" w:afterAutospacing="0"/>
                    <w:jc w:val="center"/>
                    <w:rPr>
                      <w:rFonts w:hint="default" w:ascii="Times New Roman" w:hAnsi="Times New Roman" w:cs="Times New Roman"/>
                      <w:b/>
                      <w:color w:val="auto"/>
                      <w:sz w:val="21"/>
                      <w:szCs w:val="21"/>
                    </w:rPr>
                  </w:pPr>
                  <w:r>
                    <w:rPr>
                      <w:rFonts w:hint="default" w:ascii="Times New Roman" w:hAnsi="Times New Roman" w:cs="Times New Roman"/>
                      <w:b/>
                      <w:color w:val="auto"/>
                      <w:kern w:val="44"/>
                      <w:sz w:val="21"/>
                      <w:szCs w:val="21"/>
                      <w:lang w:bidi="ar"/>
                    </w:rPr>
                    <w:t>M</w:t>
                  </w:r>
                </w:p>
              </w:tc>
              <w:tc>
                <w:tcPr>
                  <w:tcW w:w="2186" w:type="dxa"/>
                  <w:tcBorders>
                    <w:tl2br w:val="nil"/>
                    <w:tr2bl w:val="nil"/>
                  </w:tcBorders>
                  <w:noWrap w:val="0"/>
                  <w:vAlign w:val="center"/>
                </w:tcPr>
                <w:p>
                  <w:pPr>
                    <w:pStyle w:val="22"/>
                    <w:widowControl w:val="0"/>
                    <w:snapToGrid w:val="0"/>
                    <w:spacing w:before="0" w:beforeAutospacing="0" w:after="0" w:afterAutospacing="0"/>
                    <w:jc w:val="center"/>
                    <w:rPr>
                      <w:rFonts w:hint="default" w:ascii="Times New Roman" w:hAnsi="Times New Roman" w:cs="Times New Roman"/>
                      <w:b/>
                      <w:color w:val="auto"/>
                      <w:sz w:val="21"/>
                      <w:szCs w:val="21"/>
                    </w:rPr>
                  </w:pPr>
                  <w:r>
                    <w:rPr>
                      <w:rFonts w:hint="default" w:ascii="Times New Roman" w:hAnsi="Times New Roman" w:cs="Times New Roman"/>
                      <w:b/>
                      <w:color w:val="auto"/>
                      <w:kern w:val="44"/>
                      <w:sz w:val="21"/>
                      <w:szCs w:val="21"/>
                      <w:lang w:bidi="ar"/>
                    </w:rPr>
                    <w:t>P</w:t>
                  </w:r>
                </w:p>
                <w:p>
                  <w:pPr>
                    <w:pStyle w:val="22"/>
                    <w:widowControl w:val="0"/>
                    <w:snapToGrid w:val="0"/>
                    <w:spacing w:before="0" w:beforeAutospacing="0" w:after="0" w:afterAutospacing="0"/>
                    <w:jc w:val="center"/>
                    <w:rPr>
                      <w:rFonts w:hint="default" w:ascii="Times New Roman" w:hAnsi="Times New Roman" w:cs="Times New Roman"/>
                      <w:b/>
                      <w:color w:val="auto"/>
                      <w:sz w:val="21"/>
                      <w:szCs w:val="21"/>
                    </w:rPr>
                  </w:pPr>
                  <w:r>
                    <w:rPr>
                      <w:rFonts w:hint="default" w:ascii="Times New Roman" w:hAnsi="Times New Roman" w:cs="Times New Roman"/>
                      <w:b/>
                      <w:color w:val="auto"/>
                      <w:kern w:val="44"/>
                      <w:sz w:val="21"/>
                      <w:szCs w:val="21"/>
                      <w:lang w:bidi="ar"/>
                    </w:rPr>
                    <w:t>（磅/时</w:t>
                  </w:r>
                  <w:r>
                    <w:rPr>
                      <w:rFonts w:hint="default" w:ascii="Times New Roman" w:hAnsi="Times New Roman" w:cs="Times New Roman"/>
                      <w:b/>
                      <w:color w:val="auto"/>
                      <w:kern w:val="44"/>
                      <w:sz w:val="21"/>
                      <w:szCs w:val="21"/>
                      <w:vertAlign w:val="superscript"/>
                      <w:lang w:bidi="ar"/>
                    </w:rPr>
                    <w:t>2</w:t>
                  </w:r>
                  <w:r>
                    <w:rPr>
                      <w:rFonts w:hint="default" w:ascii="Times New Roman" w:hAnsi="Times New Roman" w:cs="Times New Roman"/>
                      <w:b/>
                      <w:color w:val="auto"/>
                      <w:kern w:val="44"/>
                      <w:sz w:val="21"/>
                      <w:szCs w:val="21"/>
                      <w:lang w:bidi="ar"/>
                    </w:rPr>
                    <w:t>绝对压力）</w:t>
                  </w:r>
                </w:p>
              </w:tc>
              <w:tc>
                <w:tcPr>
                  <w:tcW w:w="1551" w:type="dxa"/>
                  <w:tcBorders>
                    <w:tl2br w:val="nil"/>
                    <w:tr2bl w:val="nil"/>
                  </w:tcBorders>
                  <w:noWrap w:val="0"/>
                  <w:vAlign w:val="center"/>
                </w:tcPr>
                <w:p>
                  <w:pPr>
                    <w:pStyle w:val="22"/>
                    <w:widowControl w:val="0"/>
                    <w:snapToGrid w:val="0"/>
                    <w:spacing w:before="0" w:beforeAutospacing="0" w:after="0" w:afterAutospacing="0"/>
                    <w:jc w:val="center"/>
                    <w:rPr>
                      <w:rFonts w:hint="default" w:ascii="Times New Roman" w:hAnsi="Times New Roman" w:cs="Times New Roman"/>
                      <w:b/>
                      <w:color w:val="auto"/>
                      <w:sz w:val="21"/>
                      <w:szCs w:val="21"/>
                    </w:rPr>
                  </w:pPr>
                  <w:r>
                    <w:rPr>
                      <w:rFonts w:hint="default" w:ascii="Times New Roman" w:hAnsi="Times New Roman" w:cs="Times New Roman"/>
                      <w:b/>
                      <w:color w:val="auto"/>
                      <w:kern w:val="44"/>
                      <w:sz w:val="21"/>
                      <w:szCs w:val="21"/>
                      <w:lang w:bidi="ar"/>
                    </w:rPr>
                    <w:t>T</w:t>
                  </w:r>
                </w:p>
                <w:p>
                  <w:pPr>
                    <w:pStyle w:val="22"/>
                    <w:widowControl w:val="0"/>
                    <w:snapToGrid w:val="0"/>
                    <w:spacing w:before="0" w:beforeAutospacing="0" w:after="0" w:afterAutospacing="0"/>
                    <w:jc w:val="center"/>
                    <w:rPr>
                      <w:rFonts w:hint="default" w:ascii="Times New Roman" w:hAnsi="Times New Roman" w:cs="Times New Roman"/>
                      <w:b/>
                      <w:color w:val="auto"/>
                      <w:sz w:val="21"/>
                      <w:szCs w:val="21"/>
                    </w:rPr>
                  </w:pPr>
                  <w:r>
                    <w:rPr>
                      <w:rFonts w:hint="default" w:ascii="Times New Roman" w:hAnsi="Times New Roman" w:cs="Times New Roman"/>
                      <w:b/>
                      <w:color w:val="auto"/>
                      <w:kern w:val="44"/>
                      <w:sz w:val="21"/>
                      <w:szCs w:val="21"/>
                      <w:lang w:bidi="ar"/>
                    </w:rPr>
                    <w:t>（</w:t>
                  </w:r>
                  <w:r>
                    <w:rPr>
                      <w:rFonts w:hint="default" w:ascii="Times New Roman" w:hAnsi="Times New Roman" w:cs="Times New Roman"/>
                      <w:b/>
                      <w:color w:val="auto"/>
                      <w:kern w:val="44"/>
                      <w:sz w:val="21"/>
                      <w:szCs w:val="21"/>
                      <w:vertAlign w:val="superscript"/>
                      <w:lang w:bidi="ar"/>
                    </w:rPr>
                    <w:t>·</w:t>
                  </w:r>
                  <w:r>
                    <w:rPr>
                      <w:rFonts w:hint="default" w:ascii="Times New Roman" w:hAnsi="Times New Roman" w:cs="Times New Roman"/>
                      <w:b/>
                      <w:color w:val="auto"/>
                      <w:kern w:val="44"/>
                      <w:sz w:val="21"/>
                      <w:szCs w:val="21"/>
                      <w:lang w:bidi="ar"/>
                    </w:rPr>
                    <w:t>F）</w:t>
                  </w:r>
                </w:p>
              </w:tc>
              <w:tc>
                <w:tcPr>
                  <w:tcW w:w="1815" w:type="dxa"/>
                  <w:tcBorders>
                    <w:tl2br w:val="nil"/>
                    <w:tr2bl w:val="nil"/>
                  </w:tcBorders>
                  <w:noWrap w:val="0"/>
                  <w:vAlign w:val="center"/>
                </w:tcPr>
                <w:p>
                  <w:pPr>
                    <w:pStyle w:val="22"/>
                    <w:widowControl w:val="0"/>
                    <w:snapToGrid w:val="0"/>
                    <w:spacing w:before="0" w:beforeAutospacing="0" w:after="0" w:afterAutospacing="0"/>
                    <w:jc w:val="center"/>
                    <w:rPr>
                      <w:rFonts w:hint="default" w:ascii="Times New Roman" w:hAnsi="Times New Roman" w:cs="Times New Roman"/>
                      <w:b/>
                      <w:color w:val="auto"/>
                      <w:sz w:val="21"/>
                      <w:szCs w:val="21"/>
                    </w:rPr>
                  </w:pPr>
                  <w:r>
                    <w:rPr>
                      <w:rFonts w:hint="default" w:ascii="Times New Roman" w:hAnsi="Times New Roman" w:cs="Times New Roman"/>
                      <w:b/>
                      <w:color w:val="auto"/>
                      <w:kern w:val="44"/>
                      <w:sz w:val="21"/>
                      <w:szCs w:val="21"/>
                      <w:lang w:bidi="ar"/>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4" w:type="dxa"/>
                  <w:tcBorders>
                    <w:tl2br w:val="nil"/>
                    <w:tr2bl w:val="nil"/>
                  </w:tcBorders>
                  <w:noWrap w:val="0"/>
                  <w:vAlign w:val="center"/>
                </w:tcPr>
                <w:p>
                  <w:pPr>
                    <w:pStyle w:val="22"/>
                    <w:widowControl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kern w:val="44"/>
                      <w:sz w:val="21"/>
                      <w:szCs w:val="21"/>
                      <w:lang w:bidi="ar"/>
                    </w:rPr>
                    <w:t>汽油</w:t>
                  </w:r>
                </w:p>
              </w:tc>
              <w:tc>
                <w:tcPr>
                  <w:tcW w:w="1705" w:type="dxa"/>
                  <w:tcBorders>
                    <w:tl2br w:val="nil"/>
                    <w:tr2bl w:val="nil"/>
                  </w:tcBorders>
                  <w:noWrap w:val="0"/>
                  <w:vAlign w:val="center"/>
                </w:tcPr>
                <w:p>
                  <w:pPr>
                    <w:pStyle w:val="22"/>
                    <w:widowControl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kern w:val="44"/>
                      <w:sz w:val="21"/>
                      <w:szCs w:val="21"/>
                      <w:lang w:bidi="ar"/>
                    </w:rPr>
                    <w:t>62</w:t>
                  </w:r>
                </w:p>
              </w:tc>
              <w:tc>
                <w:tcPr>
                  <w:tcW w:w="2186" w:type="dxa"/>
                  <w:tcBorders>
                    <w:tl2br w:val="nil"/>
                    <w:tr2bl w:val="nil"/>
                  </w:tcBorders>
                  <w:noWrap w:val="0"/>
                  <w:vAlign w:val="center"/>
                </w:tcPr>
                <w:p>
                  <w:pPr>
                    <w:pStyle w:val="22"/>
                    <w:widowControl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kern w:val="44"/>
                      <w:sz w:val="21"/>
                      <w:szCs w:val="21"/>
                      <w:lang w:bidi="ar"/>
                    </w:rPr>
                    <w:t>6.6</w:t>
                  </w:r>
                </w:p>
              </w:tc>
              <w:tc>
                <w:tcPr>
                  <w:tcW w:w="1551" w:type="dxa"/>
                  <w:tcBorders>
                    <w:tl2br w:val="nil"/>
                    <w:tr2bl w:val="nil"/>
                  </w:tcBorders>
                  <w:noWrap w:val="0"/>
                  <w:vAlign w:val="center"/>
                </w:tcPr>
                <w:p>
                  <w:pPr>
                    <w:pStyle w:val="22"/>
                    <w:widowControl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kern w:val="44"/>
                      <w:sz w:val="21"/>
                      <w:szCs w:val="21"/>
                      <w:lang w:bidi="ar"/>
                    </w:rPr>
                    <w:t>70</w:t>
                  </w:r>
                </w:p>
              </w:tc>
              <w:tc>
                <w:tcPr>
                  <w:tcW w:w="1815" w:type="dxa"/>
                  <w:tcBorders>
                    <w:tl2br w:val="nil"/>
                    <w:tr2bl w:val="nil"/>
                  </w:tcBorders>
                  <w:noWrap w:val="0"/>
                  <w:vAlign w:val="center"/>
                </w:tcPr>
                <w:p>
                  <w:pPr>
                    <w:pStyle w:val="22"/>
                    <w:widowControl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kern w:val="44"/>
                      <w:sz w:val="21"/>
                      <w:szCs w:val="21"/>
                      <w:lang w:bidi="ar"/>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4" w:type="dxa"/>
                  <w:tcBorders>
                    <w:tl2br w:val="nil"/>
                    <w:tr2bl w:val="nil"/>
                  </w:tcBorders>
                  <w:noWrap w:val="0"/>
                  <w:vAlign w:val="center"/>
                </w:tcPr>
                <w:p>
                  <w:pPr>
                    <w:pStyle w:val="22"/>
                    <w:widowControl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kern w:val="44"/>
                      <w:sz w:val="21"/>
                      <w:szCs w:val="21"/>
                      <w:lang w:bidi="ar"/>
                    </w:rPr>
                    <w:t>柴油</w:t>
                  </w:r>
                </w:p>
              </w:tc>
              <w:tc>
                <w:tcPr>
                  <w:tcW w:w="1705" w:type="dxa"/>
                  <w:tcBorders>
                    <w:tl2br w:val="nil"/>
                    <w:tr2bl w:val="nil"/>
                  </w:tcBorders>
                  <w:noWrap w:val="0"/>
                  <w:vAlign w:val="center"/>
                </w:tcPr>
                <w:p>
                  <w:pPr>
                    <w:pStyle w:val="22"/>
                    <w:widowControl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kern w:val="44"/>
                      <w:sz w:val="21"/>
                      <w:szCs w:val="21"/>
                      <w:lang w:bidi="ar"/>
                    </w:rPr>
                    <w:t>96</w:t>
                  </w:r>
                </w:p>
              </w:tc>
              <w:tc>
                <w:tcPr>
                  <w:tcW w:w="2186" w:type="dxa"/>
                  <w:tcBorders>
                    <w:tl2br w:val="nil"/>
                    <w:tr2bl w:val="nil"/>
                  </w:tcBorders>
                  <w:noWrap w:val="0"/>
                  <w:vAlign w:val="center"/>
                </w:tcPr>
                <w:p>
                  <w:pPr>
                    <w:pStyle w:val="22"/>
                    <w:widowControl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kern w:val="44"/>
                      <w:sz w:val="21"/>
                      <w:szCs w:val="21"/>
                      <w:lang w:bidi="ar"/>
                    </w:rPr>
                    <w:t>0.9</w:t>
                  </w:r>
                </w:p>
              </w:tc>
              <w:tc>
                <w:tcPr>
                  <w:tcW w:w="1551" w:type="dxa"/>
                  <w:tcBorders>
                    <w:tl2br w:val="nil"/>
                    <w:tr2bl w:val="nil"/>
                  </w:tcBorders>
                  <w:noWrap w:val="0"/>
                  <w:vAlign w:val="center"/>
                </w:tcPr>
                <w:p>
                  <w:pPr>
                    <w:pStyle w:val="22"/>
                    <w:widowControl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kern w:val="44"/>
                      <w:sz w:val="21"/>
                      <w:szCs w:val="21"/>
                      <w:lang w:bidi="ar"/>
                    </w:rPr>
                    <w:t>70</w:t>
                  </w:r>
                </w:p>
              </w:tc>
              <w:tc>
                <w:tcPr>
                  <w:tcW w:w="1815" w:type="dxa"/>
                  <w:tcBorders>
                    <w:tl2br w:val="nil"/>
                    <w:tr2bl w:val="nil"/>
                  </w:tcBorders>
                  <w:noWrap w:val="0"/>
                  <w:vAlign w:val="center"/>
                </w:tcPr>
                <w:p>
                  <w:pPr>
                    <w:pStyle w:val="22"/>
                    <w:widowControl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kern w:val="44"/>
                      <w:sz w:val="21"/>
                      <w:szCs w:val="21"/>
                      <w:lang w:bidi="ar"/>
                    </w:rPr>
                    <w:t>0.06</w:t>
                  </w:r>
                </w:p>
              </w:tc>
            </w:tr>
          </w:tbl>
          <w:p>
            <w:pPr>
              <w:pStyle w:val="22"/>
              <w:widowControl w:val="0"/>
              <w:spacing w:before="0" w:beforeAutospacing="0" w:after="0" w:afterAutospacing="0"/>
              <w:ind w:firstLine="512"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kern w:val="44"/>
                <w:lang w:bidi="ar"/>
              </w:rPr>
              <w:t>经计算，项目装卸汽油和柴油过程中，油气产生系数分别为0.5244kg/m</w:t>
            </w:r>
            <w:r>
              <w:rPr>
                <w:rFonts w:hint="default" w:ascii="Times New Roman" w:hAnsi="Times New Roman" w:cs="Times New Roman"/>
                <w:color w:val="auto"/>
                <w:kern w:val="44"/>
                <w:vertAlign w:val="superscript"/>
                <w:lang w:bidi="ar"/>
              </w:rPr>
              <w:t>3</w:t>
            </w:r>
            <w:r>
              <w:rPr>
                <w:rFonts w:hint="default" w:ascii="Times New Roman" w:hAnsi="Times New Roman" w:cs="Times New Roman"/>
                <w:color w:val="auto"/>
                <w:kern w:val="44"/>
                <w:lang w:bidi="ar"/>
              </w:rPr>
              <w:t>和0.1107kg/m</w:t>
            </w:r>
            <w:r>
              <w:rPr>
                <w:rFonts w:hint="default" w:ascii="Times New Roman" w:hAnsi="Times New Roman" w:cs="Times New Roman"/>
                <w:color w:val="auto"/>
                <w:kern w:val="44"/>
                <w:vertAlign w:val="superscript"/>
                <w:lang w:bidi="ar"/>
              </w:rPr>
              <w:t>3</w:t>
            </w:r>
            <w:r>
              <w:rPr>
                <w:rFonts w:hint="default" w:ascii="Times New Roman" w:hAnsi="Times New Roman" w:cs="Times New Roman"/>
                <w:color w:val="auto"/>
                <w:kern w:val="44"/>
                <w:lang w:bidi="ar"/>
              </w:rPr>
              <w:t>。</w:t>
            </w:r>
            <w:r>
              <w:rPr>
                <w:rFonts w:hint="default" w:ascii="Times New Roman" w:hAnsi="Times New Roman" w:cs="Times New Roman"/>
                <w:color w:val="auto"/>
                <w:sz w:val="24"/>
                <w:szCs w:val="24"/>
              </w:rPr>
              <w:t>类比同类采用自流密闭卸油方式（即一次油气回收）的加油站，地下油罐排放的油气约95%以上可被回收至油罐车内，本项目以95%计。</w:t>
            </w:r>
          </w:p>
          <w:p>
            <w:pPr>
              <w:pStyle w:val="22"/>
              <w:widowControl w:val="0"/>
              <w:spacing w:before="0" w:beforeAutospacing="0" w:after="0" w:afterAutospacing="0"/>
              <w:ind w:firstLine="512"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本项目总销售量为汽油</w:t>
            </w:r>
            <w:r>
              <w:rPr>
                <w:rFonts w:hint="default" w:ascii="Times New Roman" w:hAnsi="Times New Roman" w:cs="Times New Roman"/>
                <w:color w:val="auto"/>
                <w:sz w:val="24"/>
                <w:szCs w:val="24"/>
                <w:lang w:val="en-US" w:eastAsia="zh-CN"/>
              </w:rPr>
              <w:t>200</w:t>
            </w:r>
            <w:r>
              <w:rPr>
                <w:rFonts w:hint="default" w:ascii="Times New Roman" w:hAnsi="Times New Roman" w:cs="Times New Roman"/>
                <w:color w:val="auto"/>
                <w:sz w:val="24"/>
                <w:szCs w:val="24"/>
              </w:rPr>
              <w:t>0t、柴油</w:t>
            </w:r>
            <w:r>
              <w:rPr>
                <w:rFonts w:hint="default" w:ascii="Times New Roman" w:hAnsi="Times New Roman" w:cs="Times New Roman"/>
                <w:color w:val="auto"/>
                <w:sz w:val="24"/>
                <w:szCs w:val="24"/>
                <w:lang w:val="en-US" w:eastAsia="zh-CN"/>
              </w:rPr>
              <w:t>200</w:t>
            </w:r>
            <w:r>
              <w:rPr>
                <w:rFonts w:hint="default" w:ascii="Times New Roman" w:hAnsi="Times New Roman" w:cs="Times New Roman"/>
                <w:color w:val="auto"/>
                <w:sz w:val="24"/>
                <w:szCs w:val="24"/>
              </w:rPr>
              <w:t>0t，按照汽油密度为0.74g/mL、柴油密度为0.84g/m</w:t>
            </w:r>
            <w:r>
              <w:rPr>
                <w:rFonts w:hint="default" w:ascii="Times New Roman" w:hAnsi="Times New Roman" w:cs="Times New Roman"/>
                <w:color w:val="auto"/>
                <w:sz w:val="24"/>
                <w:szCs w:val="24"/>
                <w:lang w:val="en-US" w:eastAsia="zh-CN"/>
              </w:rPr>
              <w:t>L</w:t>
            </w:r>
            <w:r>
              <w:rPr>
                <w:rFonts w:hint="default" w:ascii="Times New Roman" w:hAnsi="Times New Roman" w:cs="Times New Roman"/>
                <w:color w:val="auto"/>
                <w:sz w:val="24"/>
                <w:szCs w:val="24"/>
              </w:rPr>
              <w:t>计，本项目汽油销售量为</w:t>
            </w:r>
            <w:r>
              <w:rPr>
                <w:rFonts w:hint="default" w:ascii="Times New Roman" w:hAnsi="Times New Roman" w:cs="Times New Roman"/>
                <w:color w:val="auto"/>
                <w:sz w:val="24"/>
                <w:szCs w:val="24"/>
                <w:lang w:val="en-US" w:eastAsia="zh-CN"/>
              </w:rPr>
              <w:t>2702.7</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/a，柴油</w:t>
            </w:r>
            <w:r>
              <w:rPr>
                <w:rFonts w:hint="default" w:ascii="Times New Roman" w:hAnsi="Times New Roman" w:cs="Times New Roman"/>
                <w:color w:val="auto"/>
                <w:sz w:val="24"/>
                <w:szCs w:val="24"/>
                <w:lang w:val="en-US" w:eastAsia="zh-CN"/>
              </w:rPr>
              <w:t>2380.95</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lang w:eastAsia="zh-CN"/>
              </w:rPr>
              <w:t>，</w:t>
            </w:r>
            <w:r>
              <w:rPr>
                <w:rFonts w:hint="default" w:ascii="Times New Roman" w:hAnsi="Times New Roman" w:cs="Times New Roman"/>
                <w:iCs/>
                <w:color w:val="auto"/>
                <w:sz w:val="24"/>
                <w:szCs w:val="32"/>
              </w:rPr>
              <w:t>本项目运营期间</w:t>
            </w:r>
            <w:r>
              <w:rPr>
                <w:rFonts w:hint="default" w:ascii="Times New Roman" w:hAnsi="Times New Roman" w:cs="Times New Roman"/>
                <w:iCs/>
                <w:color w:val="auto"/>
                <w:sz w:val="24"/>
                <w:szCs w:val="32"/>
                <w:lang w:val="en-US" w:eastAsia="zh-CN"/>
              </w:rPr>
              <w:t>加油作业产生</w:t>
            </w:r>
            <w:r>
              <w:rPr>
                <w:rFonts w:hint="default" w:ascii="Times New Roman" w:hAnsi="Times New Roman" w:cs="Times New Roman"/>
                <w:color w:val="auto"/>
                <w:sz w:val="24"/>
                <w:szCs w:val="22"/>
              </w:rPr>
              <w:t>VOCs（以非甲烷总烃计）</w:t>
            </w:r>
            <w:r>
              <w:rPr>
                <w:rFonts w:hint="default" w:ascii="Times New Roman" w:hAnsi="Times New Roman" w:cs="Times New Roman"/>
                <w:color w:val="auto"/>
                <w:sz w:val="24"/>
                <w:szCs w:val="22"/>
                <w:lang w:eastAsia="zh-CN"/>
              </w:rPr>
              <w:t>，</w:t>
            </w:r>
            <w:r>
              <w:rPr>
                <w:rFonts w:hint="default" w:ascii="Times New Roman" w:hAnsi="Times New Roman" w:cs="Times New Roman"/>
                <w:color w:val="auto"/>
                <w:sz w:val="24"/>
                <w:szCs w:val="22"/>
                <w:lang w:val="en-US" w:eastAsia="zh-CN"/>
              </w:rPr>
              <w:t>汽油：2.31t/a，柴油：0.26t/a。</w:t>
            </w:r>
          </w:p>
          <w:p>
            <w:pPr>
              <w:pStyle w:val="25"/>
              <w:keepNext w:val="0"/>
              <w:keepLines w:val="0"/>
              <w:pageBreakBefore w:val="0"/>
              <w:widowControl/>
              <w:kinsoku/>
              <w:wordWrap/>
              <w:overflowPunct/>
              <w:topLinePunct w:val="0"/>
              <w:autoSpaceDE/>
              <w:autoSpaceDN/>
              <w:bidi w:val="0"/>
              <w:adjustRightInd/>
              <w:snapToGrid/>
              <w:spacing w:before="0" w:after="0" w:line="240" w:lineRule="auto"/>
              <w:ind w:right="0" w:firstLine="512"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（2）加油作业油气挥发</w:t>
            </w:r>
          </w:p>
          <w:p>
            <w:pPr>
              <w:pStyle w:val="22"/>
              <w:widowControl w:val="0"/>
              <w:spacing w:before="0" w:beforeAutospacing="0" w:after="0" w:afterAutospacing="0"/>
              <w:ind w:firstLine="512" w:firstLineChars="200"/>
              <w:jc w:val="both"/>
              <w:rPr>
                <w:rFonts w:hint="default" w:ascii="Times New Roman" w:hAnsi="Times New Roman" w:cs="Times New Roman"/>
                <w:color w:val="auto"/>
              </w:rPr>
            </w:pPr>
            <w:r>
              <w:rPr>
                <w:rFonts w:hint="default" w:ascii="Times New Roman" w:hAnsi="Times New Roman" w:cs="Times New Roman"/>
                <w:color w:val="auto"/>
                <w:kern w:val="44"/>
                <w:lang w:bidi="ar"/>
              </w:rPr>
              <w:t>油罐出料时，罐内液体体积减少，罐内气体压力降低，当压力降至呼吸阀负压极限时，吸进空气，这种由于输转油料致使油罐排出油气所导致的损失称为“大呼吸”。“大呼吸”按计算公式进行计算：</w:t>
            </w:r>
          </w:p>
          <w:p>
            <w:pPr>
              <w:pStyle w:val="22"/>
              <w:widowControl w:val="0"/>
              <w:spacing w:before="0" w:beforeAutospacing="0" w:after="0" w:afterAutospacing="0"/>
              <w:jc w:val="center"/>
              <w:rPr>
                <w:rFonts w:hint="default" w:ascii="Times New Roman" w:hAnsi="Times New Roman" w:cs="Times New Roman"/>
                <w:color w:val="auto"/>
                <w:sz w:val="24"/>
                <w:szCs w:val="24"/>
              </w:rPr>
            </w:pPr>
            <w:r>
              <w:rPr>
                <w:rFonts w:hint="default" w:ascii="Times New Roman" w:hAnsi="Times New Roman" w:eastAsia="黑体" w:cs="Times New Roman"/>
                <w:color w:val="auto"/>
                <w:kern w:val="44"/>
                <w:position w:val="-12"/>
                <w:sz w:val="24"/>
                <w:szCs w:val="24"/>
                <w:lang w:bidi="ar"/>
              </w:rPr>
              <w:object>
                <v:shape id="_x0000_i1027" o:spt="75" type="#_x0000_t75" style="height:18.75pt;width:192.75pt;" o:ole="t" filled="f" o:preferrelative="t" stroked="f" coordsize="21600,21600">
                  <v:path/>
                  <v:fill on="f" focussize="0,0"/>
                  <v:stroke on="f"/>
                  <v:imagedata r:id="rId13" o:title=""/>
                  <o:lock v:ext="edit" aspectratio="t"/>
                  <w10:wrap type="none"/>
                  <w10:anchorlock/>
                </v:shape>
                <o:OLEObject Type="Embed" ProgID="Equation.3" ShapeID="_x0000_i1027" DrawAspect="Content" ObjectID="_1468075727" r:id="rId12">
                  <o:LockedField>false</o:LockedField>
                </o:OLEObject>
              </w:object>
            </w:r>
          </w:p>
          <w:p>
            <w:pPr>
              <w:ind w:firstLine="512" w:firstLineChars="200"/>
              <w:jc w:val="left"/>
              <w:rPr>
                <w:rFonts w:hint="default" w:ascii="Times New Roman" w:hAnsi="Times New Roman" w:cs="Times New Roman"/>
                <w:iCs/>
                <w:color w:val="auto"/>
                <w:sz w:val="24"/>
                <w:szCs w:val="24"/>
              </w:rPr>
            </w:pPr>
            <w:r>
              <w:rPr>
                <w:rFonts w:hint="default" w:ascii="Times New Roman" w:hAnsi="Times New Roman" w:cs="Times New Roman"/>
                <w:iCs/>
                <w:color w:val="auto"/>
                <w:sz w:val="24"/>
                <w:szCs w:val="24"/>
                <w:lang w:bidi="ar"/>
              </w:rPr>
              <w:t>式中：L</w:t>
            </w:r>
            <w:r>
              <w:rPr>
                <w:rFonts w:hint="default" w:ascii="Times New Roman" w:hAnsi="Times New Roman" w:cs="Times New Roman"/>
                <w:iCs/>
                <w:color w:val="auto"/>
                <w:sz w:val="24"/>
                <w:szCs w:val="24"/>
                <w:vertAlign w:val="subscript"/>
                <w:lang w:bidi="ar"/>
              </w:rPr>
              <w:t>W</w:t>
            </w:r>
            <w:r>
              <w:rPr>
                <w:rFonts w:hint="default" w:ascii="Times New Roman" w:hAnsi="Times New Roman" w:cs="Times New Roman"/>
                <w:iCs/>
                <w:color w:val="auto"/>
                <w:sz w:val="24"/>
                <w:szCs w:val="24"/>
                <w:lang w:bidi="ar"/>
              </w:rPr>
              <w:t>——储罐的工作损失（</w:t>
            </w:r>
            <w:r>
              <w:rPr>
                <w:rFonts w:hint="default" w:ascii="Times New Roman" w:hAnsi="Times New Roman" w:cs="Times New Roman"/>
                <w:color w:val="auto"/>
                <w:sz w:val="24"/>
                <w:szCs w:val="24"/>
                <w:lang w:bidi="ar"/>
              </w:rPr>
              <w:t>kg/m</w:t>
            </w:r>
            <w:r>
              <w:rPr>
                <w:rFonts w:hint="default" w:ascii="Times New Roman" w:hAnsi="Times New Roman" w:cs="Times New Roman"/>
                <w:color w:val="auto"/>
                <w:sz w:val="24"/>
                <w:szCs w:val="24"/>
                <w:vertAlign w:val="superscript"/>
                <w:lang w:bidi="ar"/>
              </w:rPr>
              <w:t>3</w:t>
            </w:r>
            <w:r>
              <w:rPr>
                <w:rFonts w:hint="default" w:ascii="Times New Roman" w:hAnsi="Times New Roman" w:cs="Times New Roman"/>
                <w:iCs/>
                <w:color w:val="auto"/>
                <w:sz w:val="24"/>
                <w:szCs w:val="24"/>
                <w:lang w:bidi="ar"/>
              </w:rPr>
              <w:t>投入量）；</w:t>
            </w:r>
          </w:p>
          <w:p>
            <w:pPr>
              <w:ind w:firstLine="1280" w:firstLineChars="500"/>
              <w:jc w:val="left"/>
              <w:rPr>
                <w:rFonts w:hint="default" w:ascii="Times New Roman" w:hAnsi="Times New Roman" w:cs="Times New Roman"/>
                <w:iCs/>
                <w:color w:val="auto"/>
                <w:sz w:val="24"/>
                <w:szCs w:val="24"/>
              </w:rPr>
            </w:pPr>
            <w:r>
              <w:rPr>
                <w:rFonts w:hint="default" w:ascii="Times New Roman" w:hAnsi="Times New Roman" w:cs="Times New Roman"/>
                <w:iCs/>
                <w:color w:val="auto"/>
                <w:sz w:val="24"/>
                <w:szCs w:val="24"/>
                <w:lang w:bidi="ar"/>
              </w:rPr>
              <w:t>M——储罐内蒸气的分子量；</w:t>
            </w:r>
          </w:p>
          <w:p>
            <w:pPr>
              <w:ind w:firstLine="1280" w:firstLineChars="500"/>
              <w:jc w:val="left"/>
              <w:rPr>
                <w:rFonts w:hint="default" w:ascii="Times New Roman" w:hAnsi="Times New Roman" w:cs="Times New Roman"/>
                <w:iCs/>
                <w:color w:val="auto"/>
                <w:sz w:val="24"/>
                <w:szCs w:val="24"/>
              </w:rPr>
            </w:pPr>
            <w:r>
              <w:rPr>
                <w:rFonts w:hint="default" w:ascii="Times New Roman" w:hAnsi="Times New Roman" w:cs="Times New Roman"/>
                <w:iCs/>
                <w:color w:val="auto"/>
                <w:sz w:val="24"/>
                <w:szCs w:val="24"/>
                <w:lang w:bidi="ar"/>
              </w:rPr>
              <w:t>P——在大量液体状态下，真实的蒸气压力（Pa）；</w:t>
            </w:r>
          </w:p>
          <w:p>
            <w:pPr>
              <w:ind w:firstLine="1280" w:firstLineChars="500"/>
              <w:jc w:val="left"/>
              <w:rPr>
                <w:rFonts w:hint="default" w:ascii="Times New Roman" w:hAnsi="Times New Roman" w:cs="Times New Roman"/>
                <w:iCs/>
                <w:color w:val="auto"/>
                <w:sz w:val="24"/>
                <w:szCs w:val="24"/>
              </w:rPr>
            </w:pPr>
            <w:r>
              <w:rPr>
                <w:rFonts w:hint="default" w:ascii="Times New Roman" w:hAnsi="Times New Roman" w:cs="Times New Roman"/>
                <w:iCs/>
                <w:color w:val="auto"/>
                <w:sz w:val="24"/>
                <w:szCs w:val="24"/>
                <w:lang w:bidi="ar"/>
              </w:rPr>
              <w:t>K</w:t>
            </w:r>
            <w:r>
              <w:rPr>
                <w:rFonts w:hint="default" w:ascii="Times New Roman" w:hAnsi="Times New Roman" w:cs="Times New Roman"/>
                <w:iCs/>
                <w:color w:val="auto"/>
                <w:sz w:val="24"/>
                <w:szCs w:val="24"/>
                <w:vertAlign w:val="subscript"/>
                <w:lang w:bidi="ar"/>
              </w:rPr>
              <w:t>N</w:t>
            </w:r>
            <w:r>
              <w:rPr>
                <w:rFonts w:hint="default" w:ascii="Times New Roman" w:hAnsi="Times New Roman" w:cs="Times New Roman"/>
                <w:iCs/>
                <w:color w:val="auto"/>
                <w:sz w:val="24"/>
                <w:szCs w:val="24"/>
                <w:lang w:bidi="ar"/>
              </w:rPr>
              <w:t>——周转因子（无量纲），取值按年周转次数（K=年投入量/容量）确定，K≤36，K</w:t>
            </w:r>
            <w:r>
              <w:rPr>
                <w:rFonts w:hint="default" w:ascii="Times New Roman" w:hAnsi="Times New Roman" w:cs="Times New Roman"/>
                <w:iCs/>
                <w:color w:val="auto"/>
                <w:sz w:val="24"/>
                <w:szCs w:val="24"/>
                <w:vertAlign w:val="subscript"/>
                <w:lang w:bidi="ar"/>
              </w:rPr>
              <w:t>N</w:t>
            </w:r>
            <w:r>
              <w:rPr>
                <w:rFonts w:hint="default" w:ascii="Times New Roman" w:hAnsi="Times New Roman" w:cs="Times New Roman"/>
                <w:iCs/>
                <w:color w:val="auto"/>
                <w:sz w:val="24"/>
                <w:szCs w:val="24"/>
                <w:lang w:bidi="ar"/>
              </w:rPr>
              <w:t>=1；K＞36时，K</w:t>
            </w:r>
            <w:r>
              <w:rPr>
                <w:rFonts w:hint="default" w:ascii="Times New Roman" w:hAnsi="Times New Roman" w:cs="Times New Roman"/>
                <w:iCs/>
                <w:color w:val="auto"/>
                <w:sz w:val="24"/>
                <w:szCs w:val="24"/>
                <w:vertAlign w:val="subscript"/>
                <w:lang w:bidi="ar"/>
              </w:rPr>
              <w:t>N</w:t>
            </w:r>
            <w:r>
              <w:rPr>
                <w:rFonts w:hint="default" w:ascii="Times New Roman" w:hAnsi="Times New Roman" w:cs="Times New Roman"/>
                <w:iCs/>
                <w:color w:val="auto"/>
                <w:sz w:val="24"/>
                <w:szCs w:val="24"/>
                <w:lang w:bidi="ar"/>
              </w:rPr>
              <w:t>=（180+N）/6N；</w:t>
            </w:r>
          </w:p>
          <w:p>
            <w:pPr>
              <w:ind w:firstLine="1280" w:firstLineChars="500"/>
              <w:jc w:val="left"/>
              <w:rPr>
                <w:rFonts w:hint="default" w:ascii="Times New Roman" w:hAnsi="Times New Roman" w:cs="Times New Roman"/>
                <w:iCs/>
                <w:color w:val="auto"/>
                <w:sz w:val="24"/>
                <w:szCs w:val="24"/>
              </w:rPr>
            </w:pPr>
            <w:r>
              <w:rPr>
                <w:rFonts w:hint="default" w:ascii="Times New Roman" w:hAnsi="Times New Roman" w:cs="Times New Roman"/>
                <w:iCs/>
                <w:color w:val="auto"/>
                <w:sz w:val="24"/>
                <w:szCs w:val="24"/>
                <w:lang w:bidi="ar"/>
              </w:rPr>
              <w:t>K</w:t>
            </w:r>
            <w:r>
              <w:rPr>
                <w:rFonts w:hint="default" w:ascii="Times New Roman" w:hAnsi="Times New Roman" w:cs="Times New Roman"/>
                <w:iCs/>
                <w:color w:val="auto"/>
                <w:sz w:val="24"/>
                <w:szCs w:val="24"/>
                <w:vertAlign w:val="subscript"/>
                <w:lang w:bidi="ar"/>
              </w:rPr>
              <w:t>C</w:t>
            </w:r>
            <w:r>
              <w:rPr>
                <w:rFonts w:hint="default" w:ascii="Times New Roman" w:hAnsi="Times New Roman" w:cs="Times New Roman"/>
                <w:iCs/>
                <w:color w:val="auto"/>
                <w:sz w:val="24"/>
                <w:szCs w:val="24"/>
                <w:lang w:bidi="ar"/>
              </w:rPr>
              <w:t>——产品因子。</w:t>
            </w:r>
          </w:p>
          <w:p>
            <w:pPr>
              <w:pStyle w:val="25"/>
              <w:keepNext w:val="0"/>
              <w:keepLines w:val="0"/>
              <w:pageBreakBefore w:val="0"/>
              <w:widowControl/>
              <w:kinsoku/>
              <w:wordWrap/>
              <w:overflowPunct/>
              <w:topLinePunct w:val="0"/>
              <w:autoSpaceDE/>
              <w:autoSpaceDN/>
              <w:bidi w:val="0"/>
              <w:adjustRightInd/>
              <w:snapToGrid/>
              <w:spacing w:before="0" w:after="0" w:line="240" w:lineRule="auto"/>
              <w:ind w:right="0" w:firstLine="512"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iCs/>
                <w:color w:val="auto"/>
                <w:sz w:val="24"/>
                <w:szCs w:val="32"/>
                <w:lang w:bidi="ar"/>
              </w:rPr>
              <w:t>项目大呼吸计算参数取值参照小呼吸计算参数。经计算，项目加油过程汽油和柴油油气产生系数分别为0.251kg/m</w:t>
            </w:r>
            <w:r>
              <w:rPr>
                <w:rFonts w:hint="default" w:ascii="Times New Roman" w:hAnsi="Times New Roman" w:cs="Times New Roman"/>
                <w:iCs/>
                <w:color w:val="auto"/>
                <w:sz w:val="24"/>
                <w:szCs w:val="32"/>
                <w:vertAlign w:val="superscript"/>
                <w:lang w:bidi="ar"/>
              </w:rPr>
              <w:t>3</w:t>
            </w:r>
            <w:r>
              <w:rPr>
                <w:rFonts w:hint="default" w:ascii="Times New Roman" w:hAnsi="Times New Roman" w:cs="Times New Roman"/>
                <w:iCs/>
                <w:color w:val="auto"/>
                <w:sz w:val="24"/>
                <w:szCs w:val="32"/>
                <w:lang w:bidi="ar"/>
              </w:rPr>
              <w:t>和0.0497kg/m</w:t>
            </w:r>
            <w:r>
              <w:rPr>
                <w:rFonts w:hint="default" w:ascii="Times New Roman" w:hAnsi="Times New Roman" w:cs="Times New Roman"/>
                <w:iCs/>
                <w:color w:val="auto"/>
                <w:sz w:val="24"/>
                <w:szCs w:val="32"/>
                <w:vertAlign w:val="superscript"/>
                <w:lang w:bidi="ar"/>
              </w:rPr>
              <w:t>3</w:t>
            </w:r>
            <w:r>
              <w:rPr>
                <w:rFonts w:hint="default" w:ascii="Times New Roman" w:hAnsi="Times New Roman" w:cs="Times New Roman"/>
                <w:iCs/>
                <w:color w:val="auto"/>
                <w:sz w:val="24"/>
                <w:szCs w:val="32"/>
                <w:lang w:bidi="ar"/>
              </w:rPr>
              <w:t>。</w:t>
            </w:r>
            <w:r>
              <w:rPr>
                <w:rFonts w:hint="default" w:ascii="Times New Roman" w:hAnsi="Times New Roman" w:cs="Times New Roman"/>
                <w:color w:val="auto"/>
                <w:sz w:val="24"/>
                <w:szCs w:val="24"/>
              </w:rPr>
              <w:t>本项目</w:t>
            </w:r>
            <w:r>
              <w:rPr>
                <w:rFonts w:hint="default" w:ascii="Times New Roman" w:hAnsi="Times New Roman" w:cs="Times New Roman"/>
                <w:color w:val="auto"/>
                <w:sz w:val="24"/>
                <w:szCs w:val="24"/>
                <w:lang w:val="en-US" w:eastAsia="zh-CN"/>
              </w:rPr>
              <w:t>拟采用</w:t>
            </w:r>
            <w:r>
              <w:rPr>
                <w:rFonts w:hint="default" w:ascii="Times New Roman" w:hAnsi="Times New Roman" w:cs="Times New Roman"/>
                <w:color w:val="auto"/>
                <w:sz w:val="24"/>
                <w:szCs w:val="24"/>
              </w:rPr>
              <w:t>加油油气回收系统，将加油过程挥发的油气回收到油罐内。根据环保型加油枪的技术参数，在气液比A/L=0.8</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1~1.4</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1时，其汽油回收效率可以达到95%以上，本项目以95%计。</w:t>
            </w:r>
          </w:p>
          <w:p>
            <w:pPr>
              <w:pStyle w:val="25"/>
              <w:keepNext w:val="0"/>
              <w:keepLines w:val="0"/>
              <w:pageBreakBefore w:val="0"/>
              <w:widowControl/>
              <w:kinsoku/>
              <w:wordWrap/>
              <w:overflowPunct/>
              <w:topLinePunct w:val="0"/>
              <w:autoSpaceDE/>
              <w:autoSpaceDN/>
              <w:bidi w:val="0"/>
              <w:adjustRightInd/>
              <w:snapToGrid/>
              <w:spacing w:before="0" w:after="0" w:line="240" w:lineRule="auto"/>
              <w:ind w:right="0" w:firstLine="512"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项目总销售量为汽油</w:t>
            </w:r>
            <w:r>
              <w:rPr>
                <w:rFonts w:hint="default" w:ascii="Times New Roman" w:hAnsi="Times New Roman" w:cs="Times New Roman"/>
                <w:color w:val="auto"/>
                <w:sz w:val="24"/>
                <w:szCs w:val="24"/>
                <w:lang w:val="en-US" w:eastAsia="zh-CN"/>
              </w:rPr>
              <w:t>200</w:t>
            </w:r>
            <w:r>
              <w:rPr>
                <w:rFonts w:hint="default" w:ascii="Times New Roman" w:hAnsi="Times New Roman" w:cs="Times New Roman"/>
                <w:color w:val="auto"/>
                <w:sz w:val="24"/>
                <w:szCs w:val="24"/>
              </w:rPr>
              <w:t>0t、柴油</w:t>
            </w:r>
            <w:r>
              <w:rPr>
                <w:rFonts w:hint="default" w:ascii="Times New Roman" w:hAnsi="Times New Roman" w:cs="Times New Roman"/>
                <w:color w:val="auto"/>
                <w:sz w:val="24"/>
                <w:szCs w:val="24"/>
                <w:lang w:val="en-US" w:eastAsia="zh-CN"/>
              </w:rPr>
              <w:t>200</w:t>
            </w:r>
            <w:r>
              <w:rPr>
                <w:rFonts w:hint="default" w:ascii="Times New Roman" w:hAnsi="Times New Roman" w:cs="Times New Roman"/>
                <w:color w:val="auto"/>
                <w:sz w:val="24"/>
                <w:szCs w:val="24"/>
              </w:rPr>
              <w:t>0t，按照汽油密度为0.74g/mL、柴油密度为0.84g/m</w:t>
            </w:r>
            <w:r>
              <w:rPr>
                <w:rFonts w:hint="default" w:ascii="Times New Roman" w:hAnsi="Times New Roman" w:cs="Times New Roman"/>
                <w:color w:val="auto"/>
                <w:sz w:val="24"/>
                <w:szCs w:val="24"/>
                <w:lang w:val="en-US" w:eastAsia="zh-CN"/>
              </w:rPr>
              <w:t>L</w:t>
            </w:r>
            <w:r>
              <w:rPr>
                <w:rFonts w:hint="default" w:ascii="Times New Roman" w:hAnsi="Times New Roman" w:cs="Times New Roman"/>
                <w:color w:val="auto"/>
                <w:sz w:val="24"/>
                <w:szCs w:val="24"/>
              </w:rPr>
              <w:t>计，本项目汽油销售量为</w:t>
            </w:r>
            <w:r>
              <w:rPr>
                <w:rFonts w:hint="default" w:ascii="Times New Roman" w:hAnsi="Times New Roman" w:cs="Times New Roman"/>
                <w:color w:val="auto"/>
                <w:sz w:val="24"/>
                <w:szCs w:val="24"/>
                <w:lang w:val="en-US" w:eastAsia="zh-CN"/>
              </w:rPr>
              <w:t>2702.7</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/a，柴油</w:t>
            </w:r>
            <w:r>
              <w:rPr>
                <w:rFonts w:hint="default" w:ascii="Times New Roman" w:hAnsi="Times New Roman" w:cs="Times New Roman"/>
                <w:color w:val="auto"/>
                <w:sz w:val="24"/>
                <w:szCs w:val="24"/>
                <w:lang w:val="en-US" w:eastAsia="zh-CN"/>
              </w:rPr>
              <w:t>2380.95</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lang w:eastAsia="zh-CN"/>
              </w:rPr>
              <w:t>，</w:t>
            </w:r>
            <w:r>
              <w:rPr>
                <w:rFonts w:hint="default" w:ascii="Times New Roman" w:hAnsi="Times New Roman" w:cs="Times New Roman"/>
                <w:iCs/>
                <w:color w:val="auto"/>
                <w:sz w:val="24"/>
                <w:szCs w:val="32"/>
              </w:rPr>
              <w:t>本项目运营期间</w:t>
            </w:r>
            <w:r>
              <w:rPr>
                <w:rFonts w:hint="default" w:ascii="Times New Roman" w:hAnsi="Times New Roman" w:cs="Times New Roman"/>
                <w:iCs/>
                <w:color w:val="auto"/>
                <w:sz w:val="24"/>
                <w:szCs w:val="32"/>
                <w:lang w:val="en-US" w:eastAsia="zh-CN"/>
              </w:rPr>
              <w:t>加油作业产生</w:t>
            </w:r>
            <w:r>
              <w:rPr>
                <w:rFonts w:hint="default" w:ascii="Times New Roman" w:hAnsi="Times New Roman" w:cs="Times New Roman"/>
                <w:color w:val="auto"/>
                <w:sz w:val="24"/>
                <w:szCs w:val="22"/>
              </w:rPr>
              <w:t>VOCs（以非甲烷总烃计）</w:t>
            </w:r>
            <w:r>
              <w:rPr>
                <w:rFonts w:hint="default" w:ascii="Times New Roman" w:hAnsi="Times New Roman" w:cs="Times New Roman"/>
                <w:color w:val="auto"/>
                <w:sz w:val="24"/>
                <w:szCs w:val="22"/>
                <w:lang w:eastAsia="zh-CN"/>
              </w:rPr>
              <w:t>，</w:t>
            </w:r>
            <w:r>
              <w:rPr>
                <w:rFonts w:hint="default" w:ascii="Times New Roman" w:hAnsi="Times New Roman" w:cs="Times New Roman"/>
                <w:color w:val="auto"/>
                <w:sz w:val="24"/>
                <w:szCs w:val="22"/>
                <w:lang w:val="en-US" w:eastAsia="zh-CN"/>
              </w:rPr>
              <w:t>汽油：0.68t/a，柴油：0.12t/a。</w:t>
            </w:r>
            <w:r>
              <w:rPr>
                <w:rFonts w:hint="default" w:ascii="Times New Roman" w:hAnsi="Times New Roman" w:cs="Times New Roman"/>
                <w:color w:val="auto"/>
                <w:sz w:val="24"/>
                <w:szCs w:val="24"/>
                <w:lang w:val="en-US" w:eastAsia="zh-CN"/>
              </w:rPr>
              <w:t xml:space="preserve">                </w:t>
            </w:r>
          </w:p>
          <w:p>
            <w:pPr>
              <w:pStyle w:val="25"/>
              <w:keepNext w:val="0"/>
              <w:keepLines w:val="0"/>
              <w:pageBreakBefore w:val="0"/>
              <w:widowControl/>
              <w:kinsoku/>
              <w:wordWrap/>
              <w:overflowPunct/>
              <w:topLinePunct w:val="0"/>
              <w:autoSpaceDE/>
              <w:autoSpaceDN/>
              <w:bidi w:val="0"/>
              <w:adjustRightInd/>
              <w:snapToGrid/>
              <w:spacing w:before="0" w:after="0" w:line="240" w:lineRule="auto"/>
              <w:ind w:right="0" w:firstLine="512"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（3）跑、冒、滴、漏</w:t>
            </w:r>
          </w:p>
          <w:p>
            <w:pPr>
              <w:pStyle w:val="25"/>
              <w:keepNext w:val="0"/>
              <w:keepLines w:val="0"/>
              <w:pageBreakBefore w:val="0"/>
              <w:widowControl/>
              <w:kinsoku/>
              <w:wordWrap/>
              <w:overflowPunct/>
              <w:topLinePunct w:val="0"/>
              <w:autoSpaceDE/>
              <w:autoSpaceDN/>
              <w:bidi w:val="0"/>
              <w:adjustRightInd/>
              <w:snapToGrid/>
              <w:spacing w:before="0" w:after="0" w:line="240" w:lineRule="auto"/>
              <w:ind w:right="0" w:firstLine="512"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加油机作业过程中，不可避免地有一些成品油跑、冒、滴、漏现象的发生。跑冒滴漏量与加油站的管理、加油人员的操作水平等诸多因素有关，汽油、柴油的跑、冒、滴、漏一般平均损失量分别为0.084kg/m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·销售量、0.017kg/m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销售量。为减少加油作业时由于跑冒滴漏造成的非甲烷总烃排放量的增加，要求加油站加强操作人员对如何操作以减少油品的散失和挥发的技能培训和学习，严格按照行业操作规程作业，并加强对设备设施的检查与维护，从管理和作业上减少排放量。</w:t>
            </w:r>
          </w:p>
          <w:p>
            <w:pPr>
              <w:pStyle w:val="25"/>
              <w:keepNext w:val="0"/>
              <w:keepLines w:val="0"/>
              <w:pageBreakBefore w:val="0"/>
              <w:widowControl/>
              <w:kinsoku/>
              <w:wordWrap/>
              <w:overflowPunct/>
              <w:topLinePunct w:val="0"/>
              <w:autoSpaceDE/>
              <w:autoSpaceDN/>
              <w:bidi w:val="0"/>
              <w:adjustRightInd/>
              <w:snapToGrid/>
              <w:spacing w:before="0" w:after="0" w:line="240" w:lineRule="auto"/>
              <w:ind w:right="0" w:firstLine="512"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项目总销售量为汽油</w:t>
            </w:r>
            <w:r>
              <w:rPr>
                <w:rFonts w:hint="default" w:ascii="Times New Roman" w:hAnsi="Times New Roman" w:cs="Times New Roman"/>
                <w:color w:val="auto"/>
                <w:sz w:val="24"/>
                <w:szCs w:val="24"/>
                <w:lang w:val="en-US" w:eastAsia="zh-CN"/>
              </w:rPr>
              <w:t>200</w:t>
            </w:r>
            <w:r>
              <w:rPr>
                <w:rFonts w:hint="default" w:ascii="Times New Roman" w:hAnsi="Times New Roman" w:cs="Times New Roman"/>
                <w:color w:val="auto"/>
                <w:sz w:val="24"/>
                <w:szCs w:val="24"/>
              </w:rPr>
              <w:t>0t、柴油</w:t>
            </w:r>
            <w:r>
              <w:rPr>
                <w:rFonts w:hint="default" w:ascii="Times New Roman" w:hAnsi="Times New Roman" w:cs="Times New Roman"/>
                <w:color w:val="auto"/>
                <w:sz w:val="24"/>
                <w:szCs w:val="24"/>
                <w:lang w:val="en-US" w:eastAsia="zh-CN"/>
              </w:rPr>
              <w:t>200</w:t>
            </w:r>
            <w:r>
              <w:rPr>
                <w:rFonts w:hint="default" w:ascii="Times New Roman" w:hAnsi="Times New Roman" w:cs="Times New Roman"/>
                <w:color w:val="auto"/>
                <w:sz w:val="24"/>
                <w:szCs w:val="24"/>
              </w:rPr>
              <w:t>0t，按照汽油密度为0.74g/mL、柴油密度为0.84g/m</w:t>
            </w:r>
            <w:r>
              <w:rPr>
                <w:rFonts w:hint="default" w:ascii="Times New Roman" w:hAnsi="Times New Roman" w:cs="Times New Roman"/>
                <w:color w:val="auto"/>
                <w:sz w:val="24"/>
                <w:szCs w:val="24"/>
                <w:lang w:val="en-US" w:eastAsia="zh-CN"/>
              </w:rPr>
              <w:t>L</w:t>
            </w:r>
            <w:r>
              <w:rPr>
                <w:rFonts w:hint="default" w:ascii="Times New Roman" w:hAnsi="Times New Roman" w:cs="Times New Roman"/>
                <w:color w:val="auto"/>
                <w:sz w:val="24"/>
                <w:szCs w:val="24"/>
              </w:rPr>
              <w:t>计，本项目汽油销售量为</w:t>
            </w:r>
            <w:r>
              <w:rPr>
                <w:rFonts w:hint="default" w:ascii="Times New Roman" w:hAnsi="Times New Roman" w:cs="Times New Roman"/>
                <w:color w:val="auto"/>
                <w:sz w:val="24"/>
                <w:szCs w:val="24"/>
                <w:lang w:val="en-US" w:eastAsia="zh-CN"/>
              </w:rPr>
              <w:t>2702.7</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/a，柴油</w:t>
            </w:r>
            <w:r>
              <w:rPr>
                <w:rFonts w:hint="default" w:ascii="Times New Roman" w:hAnsi="Times New Roman" w:cs="Times New Roman"/>
                <w:color w:val="auto"/>
                <w:sz w:val="24"/>
                <w:szCs w:val="24"/>
                <w:lang w:val="en-US" w:eastAsia="zh-CN"/>
              </w:rPr>
              <w:t>2380.95</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/a。则项目加油作业时油品的跑、冒、滴、漏损失量分别为汽油0.</w:t>
            </w:r>
            <w:r>
              <w:rPr>
                <w:rFonts w:hint="default" w:ascii="Times New Roman" w:hAnsi="Times New Roman" w:cs="Times New Roman"/>
                <w:color w:val="auto"/>
                <w:sz w:val="24"/>
                <w:szCs w:val="24"/>
                <w:lang w:val="en-US" w:eastAsia="zh-CN"/>
              </w:rPr>
              <w:t>23</w:t>
            </w:r>
            <w:r>
              <w:rPr>
                <w:rFonts w:hint="default" w:ascii="Times New Roman" w:hAnsi="Times New Roman" w:cs="Times New Roman"/>
                <w:color w:val="auto"/>
                <w:sz w:val="24"/>
                <w:szCs w:val="24"/>
              </w:rPr>
              <w:t>t/a、柴油0.0</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t/a。</w:t>
            </w:r>
          </w:p>
          <w:p>
            <w:pPr>
              <w:keepNext w:val="0"/>
              <w:keepLines w:val="0"/>
              <w:widowControl/>
              <w:suppressLineNumbers w:val="0"/>
              <w:ind w:firstLine="512" w:firstLineChars="200"/>
              <w:jc w:val="left"/>
              <w:rPr>
                <w:rFonts w:hint="default" w:ascii="Times New Roman" w:hAnsi="Times New Roman" w:eastAsia="黑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本项目油气（非甲烷总烃）废气产排情况见下表。</w:t>
            </w:r>
          </w:p>
          <w:p>
            <w:pPr>
              <w:keepNext w:val="0"/>
              <w:keepLines w:val="0"/>
              <w:widowControl/>
              <w:suppressLineNumbers w:val="0"/>
              <w:jc w:val="center"/>
              <w:rPr>
                <w:rFonts w:hint="default" w:ascii="Times New Roman" w:hAnsi="Times New Roman" w:eastAsia="黑体" w:cs="Times New Roman"/>
                <w:b w:val="0"/>
                <w:bCs w:val="0"/>
                <w:color w:val="auto"/>
                <w:kern w:val="0"/>
                <w:sz w:val="24"/>
                <w:szCs w:val="24"/>
                <w:lang w:val="en-US" w:eastAsia="zh-CN" w:bidi="ar"/>
              </w:rPr>
            </w:pPr>
            <w:r>
              <w:rPr>
                <w:rFonts w:hint="default" w:ascii="Times New Roman" w:hAnsi="Times New Roman" w:eastAsia="黑体" w:cs="Times New Roman"/>
                <w:b w:val="0"/>
                <w:bCs w:val="0"/>
                <w:color w:val="auto"/>
                <w:kern w:val="0"/>
                <w:sz w:val="24"/>
                <w:szCs w:val="24"/>
                <w:lang w:val="en-US" w:eastAsia="zh-CN" w:bidi="ar"/>
              </w:rPr>
              <w:t>表4-1  项目油气（非甲烷总烃）废气产排情况一览表</w:t>
            </w:r>
          </w:p>
          <w:tbl>
            <w:tblPr>
              <w:tblStyle w:val="26"/>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83"/>
              <w:gridCol w:w="419"/>
              <w:gridCol w:w="326"/>
              <w:gridCol w:w="870"/>
              <w:gridCol w:w="631"/>
              <w:gridCol w:w="826"/>
              <w:gridCol w:w="957"/>
              <w:gridCol w:w="957"/>
              <w:gridCol w:w="946"/>
              <w:gridCol w:w="725"/>
              <w:gridCol w:w="944"/>
              <w:gridCol w:w="107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212" w:type="pct"/>
                  <w:vMerge w:val="restar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工序</w:t>
                  </w:r>
                </w:p>
              </w:tc>
              <w:tc>
                <w:tcPr>
                  <w:tcW w:w="231" w:type="pct"/>
                  <w:vMerge w:val="restar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装置</w:t>
                  </w:r>
                </w:p>
              </w:tc>
              <w:tc>
                <w:tcPr>
                  <w:tcW w:w="180" w:type="pct"/>
                  <w:vMerge w:val="restar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val="en-US" w:eastAsia="zh-CN"/>
                    </w:rPr>
                    <w:t>排放形式</w:t>
                  </w:r>
                </w:p>
              </w:tc>
              <w:tc>
                <w:tcPr>
                  <w:tcW w:w="480" w:type="pct"/>
                  <w:vMerge w:val="restar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w:t>
                  </w:r>
                </w:p>
              </w:tc>
              <w:tc>
                <w:tcPr>
                  <w:tcW w:w="1860" w:type="pct"/>
                  <w:gridSpan w:val="4"/>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污染物产生</w:t>
                  </w:r>
                </w:p>
              </w:tc>
              <w:tc>
                <w:tcPr>
                  <w:tcW w:w="922" w:type="pct"/>
                  <w:gridSpan w:val="2"/>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治理措</w:t>
                  </w:r>
                  <w:r>
                    <w:rPr>
                      <w:rFonts w:hint="default" w:ascii="Times New Roman" w:hAnsi="Times New Roman" w:eastAsia="宋体" w:cs="Times New Roman"/>
                      <w:b/>
                      <w:color w:val="auto"/>
                      <w:w w:val="99"/>
                      <w:sz w:val="21"/>
                      <w:szCs w:val="21"/>
                    </w:rPr>
                    <w:t>施</w:t>
                  </w:r>
                </w:p>
              </w:tc>
              <w:tc>
                <w:tcPr>
                  <w:tcW w:w="1112" w:type="pct"/>
                  <w:gridSpan w:val="2"/>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w:t>
                  </w:r>
                  <w:r>
                    <w:rPr>
                      <w:rFonts w:hint="default" w:ascii="Times New Roman" w:hAnsi="Times New Roman" w:eastAsia="宋体" w:cs="Times New Roman"/>
                      <w:b/>
                      <w:color w:val="auto"/>
                      <w:sz w:val="21"/>
                      <w:szCs w:val="21"/>
                      <w:lang w:val="en-US" w:eastAsia="zh-CN"/>
                    </w:rPr>
                    <w:t>排放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212"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rPr>
                  </w:pPr>
                </w:p>
              </w:tc>
              <w:tc>
                <w:tcPr>
                  <w:tcW w:w="231"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rPr>
                  </w:pPr>
                </w:p>
              </w:tc>
              <w:tc>
                <w:tcPr>
                  <w:tcW w:w="180"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rPr>
                  </w:pPr>
                </w:p>
              </w:tc>
              <w:tc>
                <w:tcPr>
                  <w:tcW w:w="480"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rPr>
                  </w:pPr>
                </w:p>
              </w:tc>
              <w:tc>
                <w:tcPr>
                  <w:tcW w:w="348"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核算方法</w:t>
                  </w:r>
                </w:p>
              </w:tc>
              <w:tc>
                <w:tcPr>
                  <w:tcW w:w="455"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类别</w:t>
                  </w:r>
                </w:p>
              </w:tc>
              <w:tc>
                <w:tcPr>
                  <w:tcW w:w="528"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产生量</w:t>
                  </w:r>
                </w:p>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sz w:val="21"/>
                      <w:szCs w:val="21"/>
                    </w:rPr>
                    <w:t>(</w:t>
                  </w:r>
                  <w:r>
                    <w:rPr>
                      <w:rFonts w:hint="default" w:ascii="Times New Roman" w:hAnsi="Times New Roman" w:eastAsia="宋体" w:cs="Times New Roman"/>
                      <w:b/>
                      <w:color w:val="auto"/>
                      <w:sz w:val="21"/>
                      <w:szCs w:val="21"/>
                      <w:lang w:val="en-US" w:eastAsia="zh-CN"/>
                    </w:rPr>
                    <w:t>t</w:t>
                  </w:r>
                  <w:r>
                    <w:rPr>
                      <w:rFonts w:hint="default" w:ascii="Times New Roman" w:hAnsi="Times New Roman" w:eastAsia="宋体" w:cs="Times New Roman"/>
                      <w:b/>
                      <w:color w:val="auto"/>
                      <w:sz w:val="21"/>
                      <w:szCs w:val="21"/>
                    </w:rPr>
                    <w:t>/</w:t>
                  </w:r>
                  <w:r>
                    <w:rPr>
                      <w:rFonts w:hint="default" w:ascii="Times New Roman" w:hAnsi="Times New Roman" w:eastAsia="宋体" w:cs="Times New Roman"/>
                      <w:b/>
                      <w:color w:val="auto"/>
                      <w:sz w:val="21"/>
                      <w:szCs w:val="21"/>
                      <w:lang w:val="en-US" w:eastAsia="zh-CN"/>
                    </w:rPr>
                    <w:t>a</w:t>
                  </w:r>
                  <w:r>
                    <w:rPr>
                      <w:rFonts w:hint="default" w:ascii="Times New Roman" w:hAnsi="Times New Roman" w:eastAsia="宋体" w:cs="Times New Roman"/>
                      <w:b/>
                      <w:color w:val="auto"/>
                      <w:sz w:val="21"/>
                      <w:szCs w:val="21"/>
                    </w:rPr>
                    <w:t>)</w:t>
                  </w:r>
                </w:p>
              </w:tc>
              <w:tc>
                <w:tcPr>
                  <w:tcW w:w="528"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浓度</w:t>
                  </w:r>
                </w:p>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sz w:val="21"/>
                      <w:szCs w:val="21"/>
                    </w:rPr>
                    <w:t xml:space="preserve"> (</w:t>
                  </w:r>
                  <w:r>
                    <w:rPr>
                      <w:rFonts w:hint="default" w:ascii="Times New Roman" w:hAnsi="Times New Roman" w:cs="Times New Roman"/>
                      <w:b/>
                      <w:color w:val="auto"/>
                      <w:sz w:val="21"/>
                      <w:szCs w:val="21"/>
                      <w:lang w:val="en-US" w:eastAsia="zh-CN"/>
                    </w:rPr>
                    <w:t>m</w:t>
                  </w:r>
                  <w:r>
                    <w:rPr>
                      <w:rFonts w:hint="default" w:ascii="Times New Roman" w:hAnsi="Times New Roman" w:eastAsia="宋体" w:cs="Times New Roman"/>
                      <w:b/>
                      <w:color w:val="auto"/>
                      <w:sz w:val="21"/>
                      <w:szCs w:val="21"/>
                    </w:rPr>
                    <w:t>g/m</w:t>
                  </w:r>
                  <w:r>
                    <w:rPr>
                      <w:rFonts w:hint="default" w:ascii="Times New Roman" w:hAnsi="Times New Roman" w:cs="Times New Roman"/>
                      <w:b/>
                      <w:color w:val="auto"/>
                      <w:sz w:val="21"/>
                      <w:szCs w:val="21"/>
                      <w:vertAlign w:val="superscript"/>
                      <w:lang w:val="en-US" w:eastAsia="zh-CN"/>
                    </w:rPr>
                    <w:t>3</w:t>
                  </w:r>
                  <w:r>
                    <w:rPr>
                      <w:rFonts w:hint="default" w:ascii="Times New Roman" w:hAnsi="Times New Roman" w:eastAsia="宋体" w:cs="Times New Roman"/>
                      <w:b/>
                      <w:color w:val="auto"/>
                      <w:sz w:val="21"/>
                      <w:szCs w:val="21"/>
                    </w:rPr>
                    <w:t>)</w:t>
                  </w:r>
                </w:p>
              </w:tc>
              <w:tc>
                <w:tcPr>
                  <w:tcW w:w="522"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工艺</w:t>
                  </w:r>
                </w:p>
              </w:tc>
              <w:tc>
                <w:tcPr>
                  <w:tcW w:w="400"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olor w:val="auto"/>
                      <w:sz w:val="21"/>
                      <w:szCs w:val="21"/>
                    </w:rPr>
                  </w:pPr>
                </w:p>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效率</w:t>
                  </w:r>
                </w:p>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w:t>
                  </w:r>
                  <w:r>
                    <w:rPr>
                      <w:rFonts w:hint="default" w:ascii="Times New Roman" w:hAnsi="Times New Roman" w:eastAsia="宋体" w:cs="Times New Roman"/>
                      <w:b/>
                      <w:color w:val="auto"/>
                      <w:sz w:val="21"/>
                      <w:szCs w:val="21"/>
                    </w:rPr>
                    <w:t>%</w:t>
                  </w:r>
                  <w:r>
                    <w:rPr>
                      <w:rFonts w:hint="default" w:ascii="Times New Roman" w:hAnsi="Times New Roman" w:eastAsia="宋体" w:cs="Times New Roman"/>
                      <w:b/>
                      <w:color w:val="auto"/>
                      <w:sz w:val="21"/>
                      <w:szCs w:val="21"/>
                      <w:lang w:val="en-US" w:eastAsia="zh-CN"/>
                    </w:rPr>
                    <w:t>)</w:t>
                  </w:r>
                </w:p>
              </w:tc>
              <w:tc>
                <w:tcPr>
                  <w:tcW w:w="521"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排放量</w:t>
                  </w:r>
                </w:p>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w:t>
                  </w:r>
                  <w:r>
                    <w:rPr>
                      <w:rFonts w:hint="default" w:ascii="Times New Roman" w:hAnsi="Times New Roman" w:eastAsia="宋体" w:cs="Times New Roman"/>
                      <w:b/>
                      <w:color w:val="auto"/>
                      <w:sz w:val="21"/>
                      <w:szCs w:val="21"/>
                      <w:lang w:val="en-US" w:eastAsia="zh-CN"/>
                    </w:rPr>
                    <w:t>t</w:t>
                  </w:r>
                  <w:r>
                    <w:rPr>
                      <w:rFonts w:hint="default" w:ascii="Times New Roman" w:hAnsi="Times New Roman" w:eastAsia="宋体" w:cs="Times New Roman"/>
                      <w:b/>
                      <w:color w:val="auto"/>
                      <w:sz w:val="21"/>
                      <w:szCs w:val="21"/>
                    </w:rPr>
                    <w:t>/</w:t>
                  </w:r>
                  <w:r>
                    <w:rPr>
                      <w:rFonts w:hint="default" w:ascii="Times New Roman" w:hAnsi="Times New Roman" w:eastAsia="宋体" w:cs="Times New Roman"/>
                      <w:b/>
                      <w:color w:val="auto"/>
                      <w:sz w:val="21"/>
                      <w:szCs w:val="21"/>
                      <w:lang w:val="en-US" w:eastAsia="zh-CN"/>
                    </w:rPr>
                    <w:t>a</w:t>
                  </w:r>
                  <w:r>
                    <w:rPr>
                      <w:rFonts w:hint="default" w:ascii="Times New Roman" w:hAnsi="Times New Roman" w:eastAsia="宋体" w:cs="Times New Roman"/>
                      <w:b/>
                      <w:color w:val="auto"/>
                      <w:sz w:val="21"/>
                      <w:szCs w:val="21"/>
                    </w:rPr>
                    <w:t>)</w:t>
                  </w:r>
                </w:p>
              </w:tc>
              <w:tc>
                <w:tcPr>
                  <w:tcW w:w="591"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浓度</w:t>
                  </w:r>
                </w:p>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w:t>
                  </w:r>
                  <w:r>
                    <w:rPr>
                      <w:rFonts w:hint="default" w:ascii="Times New Roman" w:hAnsi="Times New Roman" w:eastAsia="宋体" w:cs="Times New Roman"/>
                      <w:b/>
                      <w:color w:val="auto"/>
                      <w:sz w:val="21"/>
                      <w:szCs w:val="21"/>
                      <w:lang w:val="en-US" w:eastAsia="zh-CN"/>
                    </w:rPr>
                    <w:t>m</w:t>
                  </w:r>
                  <w:r>
                    <w:rPr>
                      <w:rFonts w:hint="default" w:ascii="Times New Roman" w:hAnsi="Times New Roman" w:eastAsia="宋体" w:cs="Times New Roman"/>
                      <w:b/>
                      <w:color w:val="auto"/>
                      <w:sz w:val="21"/>
                      <w:szCs w:val="21"/>
                    </w:rPr>
                    <w:t>g/m</w:t>
                  </w:r>
                  <w:r>
                    <w:rPr>
                      <w:rFonts w:hint="default" w:ascii="Times New Roman" w:hAnsi="Times New Roman" w:cs="Times New Roman"/>
                      <w:b/>
                      <w:color w:val="auto"/>
                      <w:sz w:val="21"/>
                      <w:szCs w:val="21"/>
                      <w:vertAlign w:val="superscript"/>
                      <w:lang w:val="en-US" w:eastAsia="zh-CN"/>
                    </w:rPr>
                    <w:t>3</w:t>
                  </w:r>
                  <w:r>
                    <w:rPr>
                      <w:rFonts w:hint="default" w:ascii="Times New Roman" w:hAnsi="Times New Roman" w:eastAsia="宋体" w:cs="Times New Roman"/>
                      <w:b/>
                      <w:color w:val="auto"/>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212" w:type="pct"/>
                  <w:vMerge w:val="restar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卸料</w:t>
                  </w:r>
                </w:p>
              </w:tc>
              <w:tc>
                <w:tcPr>
                  <w:tcW w:w="231" w:type="pct"/>
                  <w:vMerge w:val="restar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油罐车</w:t>
                  </w:r>
                </w:p>
              </w:tc>
              <w:tc>
                <w:tcPr>
                  <w:tcW w:w="180" w:type="pct"/>
                  <w:vMerge w:val="restar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无组织排</w:t>
                  </w:r>
                </w:p>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放</w:t>
                  </w:r>
                </w:p>
              </w:tc>
              <w:tc>
                <w:tcPr>
                  <w:tcW w:w="480" w:type="pct"/>
                  <w:vMerge w:val="restar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348" w:type="pct"/>
                  <w:vMerge w:val="restar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产污系数</w:t>
                  </w:r>
                </w:p>
              </w:tc>
              <w:tc>
                <w:tcPr>
                  <w:tcW w:w="455"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汽油</w:t>
                  </w:r>
                </w:p>
              </w:tc>
              <w:tc>
                <w:tcPr>
                  <w:tcW w:w="528"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2.31</w:t>
                  </w:r>
                </w:p>
              </w:tc>
              <w:tc>
                <w:tcPr>
                  <w:tcW w:w="528" w:type="pct"/>
                  <w:vMerge w:val="restar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w:t>
                  </w:r>
                </w:p>
              </w:tc>
              <w:tc>
                <w:tcPr>
                  <w:tcW w:w="522" w:type="pct"/>
                  <w:vMerge w:val="restar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卸</w:t>
                  </w:r>
                  <w:r>
                    <w:rPr>
                      <w:rFonts w:hint="default" w:ascii="Times New Roman" w:hAnsi="Times New Roman" w:eastAsia="宋体" w:cs="Times New Roman"/>
                      <w:color w:val="auto"/>
                      <w:sz w:val="21"/>
                      <w:szCs w:val="21"/>
                    </w:rPr>
                    <w:t>油油气回收系统</w:t>
                  </w:r>
                </w:p>
              </w:tc>
              <w:tc>
                <w:tcPr>
                  <w:tcW w:w="400" w:type="pct"/>
                  <w:vMerge w:val="restar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95</w:t>
                  </w:r>
                </w:p>
              </w:tc>
              <w:tc>
                <w:tcPr>
                  <w:tcW w:w="521"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0.115</w:t>
                  </w:r>
                </w:p>
              </w:tc>
              <w:tc>
                <w:tcPr>
                  <w:tcW w:w="591" w:type="pct"/>
                  <w:vMerge w:val="restar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212" w:type="pct"/>
                  <w:vMerge w:val="continue"/>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rPr>
                  </w:pPr>
                </w:p>
              </w:tc>
              <w:tc>
                <w:tcPr>
                  <w:tcW w:w="231" w:type="pct"/>
                  <w:vMerge w:val="continue"/>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rPr>
                  </w:pPr>
                </w:p>
              </w:tc>
              <w:tc>
                <w:tcPr>
                  <w:tcW w:w="180" w:type="pct"/>
                  <w:vMerge w:val="continue"/>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rPr>
                  </w:pPr>
                </w:p>
              </w:tc>
              <w:tc>
                <w:tcPr>
                  <w:tcW w:w="480" w:type="pct"/>
                  <w:vMerge w:val="continue"/>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rPr>
                  </w:pPr>
                </w:p>
              </w:tc>
              <w:tc>
                <w:tcPr>
                  <w:tcW w:w="348" w:type="pct"/>
                  <w:vMerge w:val="continue"/>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rPr>
                  </w:pPr>
                </w:p>
              </w:tc>
              <w:tc>
                <w:tcPr>
                  <w:tcW w:w="455"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柴油</w:t>
                  </w:r>
                </w:p>
              </w:tc>
              <w:tc>
                <w:tcPr>
                  <w:tcW w:w="528"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0.26</w:t>
                  </w:r>
                </w:p>
              </w:tc>
              <w:tc>
                <w:tcPr>
                  <w:tcW w:w="528" w:type="pct"/>
                  <w:vMerge w:val="continue"/>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522" w:type="pct"/>
                  <w:vMerge w:val="continue"/>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400" w:type="pct"/>
                  <w:vMerge w:val="continue"/>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521"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0.013</w:t>
                  </w:r>
                </w:p>
              </w:tc>
              <w:tc>
                <w:tcPr>
                  <w:tcW w:w="591" w:type="pct"/>
                  <w:vMerge w:val="continue"/>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75" w:hRule="atLeast"/>
              </w:trPr>
              <w:tc>
                <w:tcPr>
                  <w:tcW w:w="212" w:type="pct"/>
                  <w:vMerge w:val="restar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加油</w:t>
                  </w:r>
                </w:p>
              </w:tc>
              <w:tc>
                <w:tcPr>
                  <w:tcW w:w="231" w:type="pct"/>
                  <w:vMerge w:val="restar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加油枪</w:t>
                  </w:r>
                </w:p>
              </w:tc>
              <w:tc>
                <w:tcPr>
                  <w:tcW w:w="180" w:type="pct"/>
                  <w:vMerge w:val="restar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无组织排放</w:t>
                  </w:r>
                </w:p>
              </w:tc>
              <w:tc>
                <w:tcPr>
                  <w:tcW w:w="480" w:type="pct"/>
                  <w:vMerge w:val="restar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348" w:type="pct"/>
                  <w:vMerge w:val="restar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产污系数</w:t>
                  </w:r>
                </w:p>
              </w:tc>
              <w:tc>
                <w:tcPr>
                  <w:tcW w:w="455"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汽油</w:t>
                  </w:r>
                </w:p>
              </w:tc>
              <w:tc>
                <w:tcPr>
                  <w:tcW w:w="528"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0.68</w:t>
                  </w:r>
                </w:p>
              </w:tc>
              <w:tc>
                <w:tcPr>
                  <w:tcW w:w="528" w:type="pct"/>
                  <w:vMerge w:val="restar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w:t>
                  </w:r>
                </w:p>
              </w:tc>
              <w:tc>
                <w:tcPr>
                  <w:tcW w:w="522" w:type="pct"/>
                  <w:vMerge w:val="restar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加油油气回收系统</w:t>
                  </w:r>
                </w:p>
              </w:tc>
              <w:tc>
                <w:tcPr>
                  <w:tcW w:w="400" w:type="pct"/>
                  <w:vMerge w:val="restar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95</w:t>
                  </w:r>
                </w:p>
              </w:tc>
              <w:tc>
                <w:tcPr>
                  <w:tcW w:w="521"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0.034</w:t>
                  </w:r>
                </w:p>
              </w:tc>
              <w:tc>
                <w:tcPr>
                  <w:tcW w:w="591" w:type="pct"/>
                  <w:vMerge w:val="restar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75" w:hRule="atLeast"/>
              </w:trPr>
              <w:tc>
                <w:tcPr>
                  <w:tcW w:w="212" w:type="pct"/>
                  <w:vMerge w:val="continue"/>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rPr>
                  </w:pPr>
                </w:p>
              </w:tc>
              <w:tc>
                <w:tcPr>
                  <w:tcW w:w="231" w:type="pct"/>
                  <w:vMerge w:val="continue"/>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rPr>
                  </w:pPr>
                </w:p>
              </w:tc>
              <w:tc>
                <w:tcPr>
                  <w:tcW w:w="180" w:type="pct"/>
                  <w:vMerge w:val="continue"/>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rPr>
                  </w:pPr>
                </w:p>
              </w:tc>
              <w:tc>
                <w:tcPr>
                  <w:tcW w:w="480" w:type="pct"/>
                  <w:vMerge w:val="continue"/>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rPr>
                  </w:pPr>
                </w:p>
              </w:tc>
              <w:tc>
                <w:tcPr>
                  <w:tcW w:w="348" w:type="pct"/>
                  <w:vMerge w:val="continue"/>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rPr>
                  </w:pPr>
                </w:p>
              </w:tc>
              <w:tc>
                <w:tcPr>
                  <w:tcW w:w="455"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柴油</w:t>
                  </w:r>
                </w:p>
              </w:tc>
              <w:tc>
                <w:tcPr>
                  <w:tcW w:w="528"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0.12</w:t>
                  </w:r>
                </w:p>
              </w:tc>
              <w:tc>
                <w:tcPr>
                  <w:tcW w:w="528" w:type="pct"/>
                  <w:vMerge w:val="continue"/>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522" w:type="pct"/>
                  <w:vMerge w:val="continue"/>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400" w:type="pct"/>
                  <w:vMerge w:val="continue"/>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521"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w:t>
                  </w:r>
                  <w:r>
                    <w:rPr>
                      <w:rFonts w:hint="default" w:ascii="Times New Roman" w:hAnsi="Times New Roman" w:cs="Times New Roman"/>
                      <w:color w:val="auto"/>
                      <w:sz w:val="21"/>
                      <w:szCs w:val="21"/>
                      <w:lang w:val="en-US" w:eastAsia="zh-CN"/>
                    </w:rPr>
                    <w:t>06</w:t>
                  </w:r>
                </w:p>
              </w:tc>
              <w:tc>
                <w:tcPr>
                  <w:tcW w:w="591" w:type="pct"/>
                  <w:vMerge w:val="continue"/>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212" w:type="pct"/>
                  <w:vMerge w:val="restar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跑冒滴漏</w:t>
                  </w:r>
                </w:p>
              </w:tc>
              <w:tc>
                <w:tcPr>
                  <w:tcW w:w="231" w:type="pct"/>
                  <w:vMerge w:val="restar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加油枪</w:t>
                  </w:r>
                </w:p>
              </w:tc>
              <w:tc>
                <w:tcPr>
                  <w:tcW w:w="180" w:type="pct"/>
                  <w:vMerge w:val="restar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无组织排</w:t>
                  </w:r>
                </w:p>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放</w:t>
                  </w:r>
                </w:p>
              </w:tc>
              <w:tc>
                <w:tcPr>
                  <w:tcW w:w="480" w:type="pct"/>
                  <w:vMerge w:val="restar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348" w:type="pct"/>
                  <w:vMerge w:val="restar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产污系数</w:t>
                  </w:r>
                </w:p>
              </w:tc>
              <w:tc>
                <w:tcPr>
                  <w:tcW w:w="455"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汽油</w:t>
                  </w:r>
                </w:p>
              </w:tc>
              <w:tc>
                <w:tcPr>
                  <w:tcW w:w="528"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w:t>
                  </w:r>
                </w:p>
              </w:tc>
              <w:tc>
                <w:tcPr>
                  <w:tcW w:w="528" w:type="pct"/>
                  <w:vMerge w:val="restar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w:t>
                  </w:r>
                </w:p>
              </w:tc>
              <w:tc>
                <w:tcPr>
                  <w:tcW w:w="522" w:type="pct"/>
                  <w:vMerge w:val="restar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both"/>
                    <w:textAlignment w:val="auto"/>
                    <w:rPr>
                      <w:rFonts w:hint="default" w:ascii="Times New Roman" w:hAnsi="Times New Roman" w:eastAsia="宋体" w:cs="Times New Roman"/>
                      <w:b/>
                      <w:color w:val="auto"/>
                      <w:sz w:val="21"/>
                      <w:szCs w:val="21"/>
                    </w:rPr>
                  </w:pPr>
                </w:p>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00" w:type="pct"/>
                  <w:vMerge w:val="restar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both"/>
                    <w:textAlignment w:val="auto"/>
                    <w:rPr>
                      <w:rFonts w:hint="default" w:ascii="Times New Roman" w:hAnsi="Times New Roman" w:eastAsia="宋体" w:cs="Times New Roman"/>
                      <w:b/>
                      <w:color w:val="auto"/>
                      <w:sz w:val="21"/>
                      <w:szCs w:val="21"/>
                    </w:rPr>
                  </w:pPr>
                </w:p>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521"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0.23</w:t>
                  </w:r>
                </w:p>
              </w:tc>
              <w:tc>
                <w:tcPr>
                  <w:tcW w:w="591" w:type="pct"/>
                  <w:vMerge w:val="restar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212" w:type="pct"/>
                  <w:vMerge w:val="continue"/>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rPr>
                  </w:pPr>
                </w:p>
              </w:tc>
              <w:tc>
                <w:tcPr>
                  <w:tcW w:w="231" w:type="pct"/>
                  <w:vMerge w:val="continue"/>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rPr>
                  </w:pPr>
                </w:p>
              </w:tc>
              <w:tc>
                <w:tcPr>
                  <w:tcW w:w="180" w:type="pct"/>
                  <w:vMerge w:val="continue"/>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rPr>
                  </w:pPr>
                </w:p>
              </w:tc>
              <w:tc>
                <w:tcPr>
                  <w:tcW w:w="480" w:type="pct"/>
                  <w:vMerge w:val="continue"/>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rPr>
                  </w:pPr>
                </w:p>
              </w:tc>
              <w:tc>
                <w:tcPr>
                  <w:tcW w:w="348" w:type="pct"/>
                  <w:vMerge w:val="continue"/>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rPr>
                  </w:pPr>
                </w:p>
              </w:tc>
              <w:tc>
                <w:tcPr>
                  <w:tcW w:w="455"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柴油</w:t>
                  </w:r>
                </w:p>
              </w:tc>
              <w:tc>
                <w:tcPr>
                  <w:tcW w:w="528"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28" w:type="pct"/>
                  <w:vMerge w:val="continue"/>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522" w:type="pct"/>
                  <w:vMerge w:val="continue"/>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400" w:type="pct"/>
                  <w:vMerge w:val="continue"/>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521"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0.04</w:t>
                  </w:r>
                </w:p>
              </w:tc>
              <w:tc>
                <w:tcPr>
                  <w:tcW w:w="591" w:type="pct"/>
                  <w:vMerge w:val="continue"/>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907" w:type="pct"/>
                  <w:gridSpan w:val="6"/>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lang w:val="en-US" w:eastAsia="zh-CN"/>
                    </w:rPr>
                    <w:t>合计</w:t>
                  </w:r>
                </w:p>
              </w:tc>
              <w:tc>
                <w:tcPr>
                  <w:tcW w:w="528"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3.37</w:t>
                  </w:r>
                </w:p>
              </w:tc>
              <w:tc>
                <w:tcPr>
                  <w:tcW w:w="528"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22"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00"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21"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0.54</w:t>
                  </w:r>
                </w:p>
              </w:tc>
              <w:tc>
                <w:tcPr>
                  <w:tcW w:w="591"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bl>
          <w:p>
            <w:pPr>
              <w:jc w:val="left"/>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1.2排放口基本情况</w:t>
            </w:r>
          </w:p>
          <w:p>
            <w:pPr>
              <w:ind w:firstLine="512"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本项目废气均为无组织排放，故本项目不设废气排放口。</w:t>
            </w:r>
          </w:p>
          <w:p>
            <w:pPr>
              <w:jc w:val="left"/>
              <w:rPr>
                <w:rFonts w:hint="default" w:ascii="Times New Roman" w:hAnsi="Times New Roman" w:eastAsia="黑体" w:cs="Times New Roman"/>
                <w:color w:val="auto"/>
                <w:sz w:val="24"/>
              </w:rPr>
            </w:pPr>
            <w:r>
              <w:rPr>
                <w:rFonts w:hint="default" w:ascii="Times New Roman" w:hAnsi="Times New Roman" w:eastAsia="黑体" w:cs="Times New Roman"/>
                <w:color w:val="auto"/>
                <w:sz w:val="24"/>
                <w:lang w:val="en-US" w:eastAsia="zh-CN"/>
              </w:rPr>
              <w:t>1.3</w:t>
            </w:r>
            <w:r>
              <w:rPr>
                <w:rFonts w:hint="default" w:ascii="Times New Roman" w:hAnsi="Times New Roman" w:eastAsia="黑体" w:cs="Times New Roman"/>
                <w:color w:val="auto"/>
                <w:sz w:val="24"/>
              </w:rPr>
              <w:t>监测计划</w:t>
            </w:r>
          </w:p>
          <w:p>
            <w:pPr>
              <w:keepNext w:val="0"/>
              <w:keepLines w:val="0"/>
              <w:widowControl/>
              <w:suppressLineNumbers w:val="0"/>
              <w:ind w:firstLine="512"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根据《排污许可证申请与核发技术规范</w:t>
            </w:r>
            <w:r>
              <w:rPr>
                <w:rFonts w:hint="default" w:ascii="Times New Roman" w:hAnsi="Times New Roman" w:cs="Times New Roman"/>
                <w:color w:val="auto"/>
                <w:kern w:val="0"/>
                <w:sz w:val="24"/>
                <w:szCs w:val="24"/>
                <w:lang w:val="en-US" w:eastAsia="zh-CN" w:bidi="ar"/>
              </w:rPr>
              <w:t xml:space="preserve"> </w:t>
            </w:r>
            <w:r>
              <w:rPr>
                <w:rFonts w:hint="default" w:ascii="Times New Roman" w:hAnsi="Times New Roman" w:eastAsia="宋体" w:cs="Times New Roman"/>
                <w:color w:val="auto"/>
                <w:kern w:val="0"/>
                <w:sz w:val="24"/>
                <w:szCs w:val="24"/>
                <w:lang w:val="en-US" w:eastAsia="zh-CN" w:bidi="ar"/>
              </w:rPr>
              <w:t xml:space="preserve"> 储油库、加油站》（HJ 1118-2020） </w:t>
            </w:r>
          </w:p>
          <w:p>
            <w:pPr>
              <w:keepNext w:val="0"/>
              <w:keepLines w:val="0"/>
              <w:widowControl/>
              <w:suppressLineNumbers w:val="0"/>
              <w:jc w:val="left"/>
              <w:rPr>
                <w:rFonts w:hint="default" w:ascii="Times New Roman" w:hAnsi="Times New Roman" w:cs="Times New Roman"/>
                <w:color w:val="auto"/>
                <w:kern w:val="0"/>
                <w:sz w:val="24"/>
                <w:lang w:bidi="ar"/>
              </w:rPr>
            </w:pPr>
            <w:r>
              <w:rPr>
                <w:rFonts w:hint="default" w:ascii="Times New Roman" w:hAnsi="Times New Roman" w:eastAsia="宋体" w:cs="Times New Roman"/>
                <w:color w:val="auto"/>
                <w:kern w:val="0"/>
                <w:sz w:val="24"/>
                <w:szCs w:val="24"/>
                <w:lang w:val="en-US" w:eastAsia="zh-CN" w:bidi="ar"/>
              </w:rPr>
              <w:t>表8要求，本项目自行监测要求如下表</w:t>
            </w:r>
            <w:r>
              <w:rPr>
                <w:rFonts w:hint="default" w:ascii="Times New Roman" w:hAnsi="Times New Roman" w:cs="Times New Roman"/>
                <w:color w:val="auto"/>
                <w:kern w:val="0"/>
                <w:sz w:val="24"/>
                <w:lang w:bidi="ar"/>
              </w:rPr>
              <w:t>。</w:t>
            </w:r>
          </w:p>
          <w:p>
            <w:pPr>
              <w:pStyle w:val="12"/>
              <w:jc w:val="center"/>
              <w:rPr>
                <w:rFonts w:hint="default" w:ascii="Times New Roman" w:hAnsi="Times New Roman" w:cs="Times New Roman"/>
                <w:color w:val="auto"/>
                <w:szCs w:val="24"/>
              </w:rPr>
            </w:pPr>
            <w:r>
              <w:rPr>
                <w:rFonts w:hint="default" w:ascii="Times New Roman" w:hAnsi="Times New Roman" w:eastAsia="黑体" w:cs="Times New Roman"/>
                <w:color w:val="auto"/>
                <w:szCs w:val="24"/>
              </w:rPr>
              <w:t>表4-</w:t>
            </w:r>
            <w:r>
              <w:rPr>
                <w:rFonts w:hint="default" w:ascii="Times New Roman" w:hAnsi="Times New Roman" w:eastAsia="黑体" w:cs="Times New Roman"/>
                <w:color w:val="auto"/>
                <w:szCs w:val="24"/>
                <w:lang w:val="en-US" w:eastAsia="zh-CN"/>
              </w:rPr>
              <w:t>2</w:t>
            </w:r>
            <w:r>
              <w:rPr>
                <w:rFonts w:hint="default" w:ascii="Times New Roman" w:hAnsi="Times New Roman" w:eastAsia="黑体" w:cs="Times New Roman"/>
                <w:color w:val="auto"/>
                <w:szCs w:val="24"/>
              </w:rPr>
              <w:t>项目废气监测计划一览表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3272"/>
              <w:gridCol w:w="30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27" w:type="pct"/>
                  <w:shd w:val="clear" w:color="auto" w:fill="auto"/>
                  <w:vAlign w:val="center"/>
                </w:tcPr>
                <w:p>
                  <w:pPr>
                    <w:pStyle w:val="9"/>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1806" w:type="pct"/>
                  <w:shd w:val="clear" w:color="auto" w:fill="auto"/>
                  <w:vAlign w:val="center"/>
                </w:tcPr>
                <w:p>
                  <w:pPr>
                    <w:pStyle w:val="9"/>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监测指标</w:t>
                  </w:r>
                </w:p>
              </w:tc>
              <w:tc>
                <w:tcPr>
                  <w:tcW w:w="1667" w:type="pct"/>
                  <w:shd w:val="clear" w:color="auto" w:fill="auto"/>
                  <w:vAlign w:val="center"/>
                </w:tcPr>
                <w:p>
                  <w:pPr>
                    <w:pStyle w:val="9"/>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27" w:type="pct"/>
                  <w:shd w:val="clear" w:color="auto" w:fill="auto"/>
                  <w:vAlign w:val="center"/>
                </w:tcPr>
                <w:p>
                  <w:pPr>
                    <w:keepNext w:val="0"/>
                    <w:keepLines w:val="0"/>
                    <w:pageBreakBefore w:val="0"/>
                    <w:widowControl/>
                    <w:suppressLineNumbers w:val="0"/>
                    <w:kinsoku/>
                    <w:wordWrap/>
                    <w:overflowPunct/>
                    <w:topLinePunct w:val="0"/>
                    <w:autoSpaceDE/>
                    <w:autoSpaceDN/>
                    <w:bidi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油气处理装置排气筒</w:t>
                  </w:r>
                </w:p>
              </w:tc>
              <w:tc>
                <w:tcPr>
                  <w:tcW w:w="1806" w:type="pct"/>
                  <w:shd w:val="clear" w:color="auto" w:fill="auto"/>
                  <w:vAlign w:val="center"/>
                </w:tcPr>
                <w:p>
                  <w:pPr>
                    <w:keepNext w:val="0"/>
                    <w:keepLines w:val="0"/>
                    <w:pageBreakBefore w:val="0"/>
                    <w:widowControl/>
                    <w:suppressLineNumbers w:val="0"/>
                    <w:kinsoku/>
                    <w:wordWrap/>
                    <w:overflowPunct/>
                    <w:topLinePunct w:val="0"/>
                    <w:autoSpaceDE/>
                    <w:autoSpaceDN/>
                    <w:bidi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挥发性有机物</w:t>
                  </w:r>
                </w:p>
              </w:tc>
              <w:tc>
                <w:tcPr>
                  <w:tcW w:w="1667" w:type="pct"/>
                  <w:shd w:val="clear" w:color="auto" w:fill="auto"/>
                  <w:vAlign w:val="center"/>
                </w:tcPr>
                <w:p>
                  <w:pPr>
                    <w:pStyle w:val="9"/>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1次/</w:t>
                  </w:r>
                  <w:r>
                    <w:rPr>
                      <w:rFonts w:hint="default" w:ascii="Times New Roman" w:hAnsi="Times New Roman" w:eastAsia="宋体" w:cs="Times New Roman"/>
                      <w:color w:val="auto"/>
                      <w:sz w:val="21"/>
                      <w:szCs w:val="21"/>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27" w:type="pct"/>
                  <w:shd w:val="clear" w:color="auto" w:fill="auto"/>
                  <w:vAlign w:val="center"/>
                </w:tcPr>
                <w:p>
                  <w:pPr>
                    <w:keepNext w:val="0"/>
                    <w:keepLines w:val="0"/>
                    <w:pageBreakBefore w:val="0"/>
                    <w:widowControl/>
                    <w:suppressLineNumbers w:val="0"/>
                    <w:kinsoku/>
                    <w:wordWrap/>
                    <w:overflowPunct/>
                    <w:topLinePunct w:val="0"/>
                    <w:autoSpaceDE/>
                    <w:autoSpaceDN/>
                    <w:bidi w:val="0"/>
                    <w:snapToGrid w:val="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油气回收系统</w:t>
                  </w:r>
                </w:p>
              </w:tc>
              <w:tc>
                <w:tcPr>
                  <w:tcW w:w="1806" w:type="pct"/>
                  <w:shd w:val="clear" w:color="auto" w:fill="auto"/>
                  <w:vAlign w:val="center"/>
                </w:tcPr>
                <w:p>
                  <w:pPr>
                    <w:keepNext w:val="0"/>
                    <w:keepLines w:val="0"/>
                    <w:pageBreakBefore w:val="0"/>
                    <w:widowControl/>
                    <w:suppressLineNumbers w:val="0"/>
                    <w:kinsoku/>
                    <w:wordWrap/>
                    <w:overflowPunct/>
                    <w:topLinePunct w:val="0"/>
                    <w:autoSpaceDE/>
                    <w:autoSpaceDN/>
                    <w:bidi w:val="0"/>
                    <w:snapToGrid w:val="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气液比、液阻、密闭性</w:t>
                  </w:r>
                </w:p>
              </w:tc>
              <w:tc>
                <w:tcPr>
                  <w:tcW w:w="1667" w:type="pct"/>
                  <w:shd w:val="clear" w:color="auto" w:fill="auto"/>
                  <w:vAlign w:val="center"/>
                </w:tcPr>
                <w:p>
                  <w:pPr>
                    <w:pStyle w:val="9"/>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1次/</w:t>
                  </w:r>
                  <w:r>
                    <w:rPr>
                      <w:rFonts w:hint="default" w:ascii="Times New Roman" w:hAnsi="Times New Roman" w:eastAsia="宋体" w:cs="Times New Roman"/>
                      <w:color w:val="auto"/>
                      <w:sz w:val="21"/>
                      <w:szCs w:val="21"/>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527" w:type="pct"/>
                  <w:shd w:val="clear" w:color="auto" w:fill="auto"/>
                  <w:vAlign w:val="center"/>
                </w:tcPr>
                <w:p>
                  <w:pPr>
                    <w:keepNext w:val="0"/>
                    <w:keepLines w:val="0"/>
                    <w:pageBreakBefore w:val="0"/>
                    <w:widowControl/>
                    <w:suppressLineNumbers w:val="0"/>
                    <w:kinsoku/>
                    <w:wordWrap/>
                    <w:overflowPunct/>
                    <w:topLinePunct w:val="0"/>
                    <w:autoSpaceDE/>
                    <w:autoSpaceDN/>
                    <w:bidi w:val="0"/>
                    <w:snapToGrid w:val="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企业边界</w:t>
                  </w:r>
                </w:p>
              </w:tc>
              <w:tc>
                <w:tcPr>
                  <w:tcW w:w="1806" w:type="pct"/>
                  <w:shd w:val="clear" w:color="auto" w:fill="auto"/>
                  <w:vAlign w:val="center"/>
                </w:tcPr>
                <w:p>
                  <w:pPr>
                    <w:keepNext w:val="0"/>
                    <w:keepLines w:val="0"/>
                    <w:pageBreakBefore w:val="0"/>
                    <w:widowControl/>
                    <w:suppressLineNumbers w:val="0"/>
                    <w:kinsoku/>
                    <w:wordWrap/>
                    <w:overflowPunct/>
                    <w:topLinePunct w:val="0"/>
                    <w:autoSpaceDE/>
                    <w:autoSpaceDN/>
                    <w:bidi w:val="0"/>
                    <w:snapToGrid w:val="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挥发性有机物</w:t>
                  </w:r>
                </w:p>
              </w:tc>
              <w:tc>
                <w:tcPr>
                  <w:tcW w:w="1667" w:type="pct"/>
                  <w:shd w:val="clear" w:color="auto" w:fill="auto"/>
                  <w:vAlign w:val="center"/>
                </w:tcPr>
                <w:p>
                  <w:pPr>
                    <w:pStyle w:val="9"/>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1次/</w:t>
                  </w:r>
                  <w:r>
                    <w:rPr>
                      <w:rFonts w:hint="default" w:ascii="Times New Roman" w:hAnsi="Times New Roman" w:eastAsia="宋体" w:cs="Times New Roman"/>
                      <w:color w:val="auto"/>
                      <w:sz w:val="21"/>
                      <w:szCs w:val="21"/>
                    </w:rPr>
                    <w:t>年</w:t>
                  </w:r>
                </w:p>
              </w:tc>
            </w:tr>
          </w:tbl>
          <w:p>
            <w:pPr>
              <w:jc w:val="left"/>
              <w:rPr>
                <w:rFonts w:hint="default" w:ascii="Times New Roman" w:hAnsi="Times New Roman" w:eastAsia="黑体" w:cs="Times New Roman"/>
                <w:color w:val="auto"/>
                <w:sz w:val="24"/>
                <w:lang w:val="en-US" w:eastAsia="zh-CN"/>
              </w:rPr>
            </w:pPr>
            <w:r>
              <w:rPr>
                <w:rFonts w:hint="default" w:ascii="Times New Roman" w:hAnsi="Times New Roman" w:eastAsia="黑体" w:cs="Times New Roman"/>
                <w:color w:val="auto"/>
                <w:sz w:val="24"/>
                <w:lang w:val="en-US" w:eastAsia="zh-CN"/>
              </w:rPr>
              <w:t xml:space="preserve">1.4废气达标排放情况分析 </w:t>
            </w:r>
          </w:p>
          <w:p>
            <w:pPr>
              <w:ind w:firstLine="512" w:firstLineChars="20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本项目位于</w:t>
            </w:r>
            <w:r>
              <w:rPr>
                <w:rFonts w:hint="default" w:ascii="Times New Roman" w:hAnsi="Times New Roman" w:eastAsia="宋体" w:cs="Times New Roman"/>
                <w:b w:val="0"/>
                <w:color w:val="auto"/>
                <w:sz w:val="24"/>
                <w:szCs w:val="24"/>
                <w:lang w:val="en-US" w:eastAsia="zh-CN"/>
              </w:rPr>
              <w:t>新堡镇新堡村G109复线与S101线交叉口东南侧300m处</w:t>
            </w:r>
            <w:r>
              <w:rPr>
                <w:rFonts w:hint="default" w:ascii="Times New Roman" w:hAnsi="Times New Roman" w:eastAsia="宋体" w:cs="Times New Roman"/>
                <w:color w:val="auto"/>
                <w:sz w:val="24"/>
                <w:lang w:val="en-US" w:eastAsia="zh-CN"/>
              </w:rPr>
              <w:t>，项目所在区域环境空气质量状况良好。项目卸油、储油、加油过程中设置油气回收系统对油气进行回收处理，非甲烷总烃总排放量为</w:t>
            </w:r>
            <w:r>
              <w:rPr>
                <w:rFonts w:hint="default" w:ascii="Times New Roman" w:hAnsi="Times New Roman" w:cs="Times New Roman"/>
                <w:color w:val="auto"/>
                <w:sz w:val="24"/>
                <w:lang w:val="en-US" w:eastAsia="zh-CN"/>
              </w:rPr>
              <w:t>0.54</w:t>
            </w:r>
            <w:r>
              <w:rPr>
                <w:rFonts w:hint="default" w:ascii="Times New Roman" w:hAnsi="Times New Roman" w:eastAsia="宋体" w:cs="Times New Roman"/>
                <w:color w:val="auto"/>
                <w:sz w:val="24"/>
                <w:lang w:val="en-US" w:eastAsia="zh-CN"/>
              </w:rPr>
              <w:t>t/a，均以无组织方式排放，油气排放浓度、无组织排放浓度满足《加油站大气污染物排放标准》（GB20952-2020）中相关要求。因此项目卸油、储油、加油过程中挥发的非甲烷总烃排放对周围环境影响较小。</w:t>
            </w:r>
          </w:p>
          <w:p>
            <w:pPr>
              <w:jc w:val="left"/>
              <w:rPr>
                <w:rFonts w:hint="default" w:ascii="Times New Roman" w:hAnsi="Times New Roman" w:eastAsia="黑体" w:cs="Times New Roman"/>
                <w:color w:val="auto"/>
                <w:sz w:val="24"/>
                <w:lang w:val="en-US" w:eastAsia="zh-CN"/>
              </w:rPr>
            </w:pPr>
            <w:r>
              <w:rPr>
                <w:rFonts w:hint="default" w:ascii="Times New Roman" w:hAnsi="Times New Roman" w:eastAsia="黑体" w:cs="Times New Roman"/>
                <w:color w:val="auto"/>
                <w:sz w:val="24"/>
                <w:lang w:val="en-US" w:eastAsia="zh-CN"/>
              </w:rPr>
              <w:t>1.5措施可行性分析</w:t>
            </w:r>
          </w:p>
          <w:p>
            <w:pPr>
              <w:ind w:firstLine="512" w:firstLineChars="20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本项目产生的油气（非甲烷总烃）采用油气回收系统处理，参照《排污许可证申请与技术核定规范储油库、加油站》（HJ</w:t>
            </w:r>
            <w:r>
              <w:rPr>
                <w:rFonts w:hint="default" w:ascii="Times New Roman" w:hAnsi="Times New Roman" w:cs="Times New Roman"/>
                <w:color w:val="auto"/>
                <w:sz w:val="24"/>
                <w:lang w:val="en-US" w:eastAsia="zh-CN"/>
              </w:rPr>
              <w:t xml:space="preserve"> </w:t>
            </w:r>
            <w:r>
              <w:rPr>
                <w:rFonts w:hint="default" w:ascii="Times New Roman" w:hAnsi="Times New Roman" w:eastAsia="宋体" w:cs="Times New Roman"/>
                <w:color w:val="auto"/>
                <w:sz w:val="24"/>
                <w:lang w:val="en-US" w:eastAsia="zh-CN"/>
              </w:rPr>
              <w:t>1118-2020）中表7，卸油油气回收系统、加油油气回收系统属于汽油储罐、汽油加油枪设施废气污染物推荐可行技术，因此本项目油气采用卸油油气回收系统、加油油气回收系统处理技术可行。</w:t>
            </w:r>
          </w:p>
          <w:p>
            <w:pPr>
              <w:jc w:val="left"/>
              <w:rPr>
                <w:rFonts w:hint="default" w:ascii="Times New Roman" w:hAnsi="Times New Roman" w:eastAsia="黑体" w:cs="Times New Roman"/>
                <w:color w:val="auto"/>
                <w:sz w:val="24"/>
                <w:lang w:val="en-US" w:eastAsia="zh-CN"/>
              </w:rPr>
            </w:pPr>
            <w:r>
              <w:rPr>
                <w:rFonts w:hint="default" w:ascii="Times New Roman" w:hAnsi="Times New Roman" w:eastAsia="黑体" w:cs="Times New Roman"/>
                <w:color w:val="auto"/>
                <w:sz w:val="24"/>
                <w:lang w:val="en-US" w:eastAsia="zh-CN"/>
              </w:rPr>
              <w:t>1.6大气环境影响分析</w:t>
            </w:r>
          </w:p>
          <w:p>
            <w:pPr>
              <w:ind w:firstLine="512" w:firstLineChars="20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本项目油气废气采用油气回收系统处理后于站内无组织排放，机动车尾气产生量较小，以上各类污染物均能达到相应的排放标准且排放量较小，</w:t>
            </w:r>
            <w:r>
              <w:rPr>
                <w:rFonts w:hint="eastAsia" w:cs="Times New Roman"/>
                <w:color w:val="auto"/>
                <w:sz w:val="24"/>
                <w:lang w:val="en-US" w:eastAsia="zh-CN"/>
              </w:rPr>
              <w:t>经处理的</w:t>
            </w:r>
            <w:r>
              <w:rPr>
                <w:rFonts w:hint="default" w:ascii="Times New Roman" w:hAnsi="Times New Roman" w:eastAsia="宋体" w:cs="Times New Roman"/>
                <w:color w:val="auto"/>
                <w:sz w:val="24"/>
                <w:lang w:val="en-US" w:eastAsia="zh-CN"/>
              </w:rPr>
              <w:t>非甲烷总烃总排放量为0.54t/a，无组织排放浓度满足《加油站大气污染物排放标准》（GB20952-2020）中相关要求。</w:t>
            </w:r>
            <w:r>
              <w:rPr>
                <w:rFonts w:hint="eastAsia" w:cs="Times New Roman"/>
                <w:color w:val="auto"/>
                <w:sz w:val="24"/>
                <w:lang w:val="en-US" w:eastAsia="zh-CN"/>
              </w:rPr>
              <w:t>因此</w:t>
            </w:r>
            <w:r>
              <w:rPr>
                <w:rFonts w:hint="default" w:ascii="Times New Roman" w:hAnsi="Times New Roman" w:eastAsia="宋体" w:cs="Times New Roman"/>
                <w:color w:val="auto"/>
                <w:sz w:val="24"/>
                <w:lang w:val="en-US" w:eastAsia="zh-CN"/>
              </w:rPr>
              <w:t>，在保证污染防治措施正常运营的情况下，本项目大气污染物排放对区域环境空气质量现状以及大气环境保护目标影响较小。</w:t>
            </w:r>
          </w:p>
          <w:p>
            <w:pPr>
              <w:jc w:val="left"/>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2废水</w:t>
            </w:r>
          </w:p>
          <w:p>
            <w:pPr>
              <w:ind w:firstLine="512" w:firstLineChars="200"/>
              <w:jc w:val="left"/>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本项目运营期的废水主要为职工及顾客产生的生活污水，排放量为508.08m³/a，主要污染因子为CODcr、BOD</w:t>
            </w:r>
            <w:r>
              <w:rPr>
                <w:rFonts w:hint="default" w:ascii="Times New Roman" w:hAnsi="Times New Roman" w:eastAsia="宋体" w:cs="Times New Roman"/>
                <w:color w:val="auto"/>
                <w:sz w:val="24"/>
                <w:szCs w:val="24"/>
                <w:vertAlign w:val="subscript"/>
              </w:rPr>
              <w:t>5</w:t>
            </w:r>
            <w:r>
              <w:rPr>
                <w:rFonts w:hint="default" w:ascii="Times New Roman" w:hAnsi="Times New Roman" w:eastAsia="宋体" w:cs="Times New Roman"/>
                <w:color w:val="auto"/>
                <w:sz w:val="24"/>
                <w:szCs w:val="24"/>
              </w:rPr>
              <w:t>、SS、NH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-N等。项目生活污水经中化粪池（1座，</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m³）</w:t>
            </w:r>
            <w:r>
              <w:rPr>
                <w:rFonts w:hint="eastAsia" w:cs="Times New Roman"/>
                <w:color w:val="auto"/>
                <w:sz w:val="24"/>
                <w:szCs w:val="24"/>
                <w:lang w:val="en-US" w:eastAsia="zh-CN"/>
              </w:rPr>
              <w:t>处理后</w:t>
            </w:r>
            <w:r>
              <w:rPr>
                <w:rFonts w:hint="default" w:ascii="Times New Roman" w:hAnsi="Times New Roman" w:eastAsia="宋体" w:cs="Times New Roman"/>
                <w:color w:val="auto"/>
                <w:sz w:val="24"/>
                <w:szCs w:val="24"/>
              </w:rPr>
              <w:t>通过市政污水管网排入中宁县第三污水处理厂</w:t>
            </w:r>
            <w:r>
              <w:rPr>
                <w:rFonts w:hint="eastAsia" w:cs="Times New Roman"/>
                <w:color w:val="auto"/>
                <w:sz w:val="24"/>
                <w:szCs w:val="24"/>
                <w:lang w:eastAsia="zh-CN"/>
              </w:rPr>
              <w:t>。</w:t>
            </w:r>
          </w:p>
          <w:p>
            <w:pPr>
              <w:jc w:val="left"/>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3噪声</w:t>
            </w:r>
          </w:p>
          <w:p>
            <w:pPr>
              <w:jc w:val="left"/>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3.1噪声的产生及治理措施</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加油站营运期产生的噪声主要来自加油机、潜油泵等设备运转噪声以及车辆运行噪声。设备噪声约70~80dB(A)。车辆噪声约55~65dB(A)，属于瞬时噪声源，本项目主要针对设备运转噪声进行达标分析。</w:t>
            </w:r>
          </w:p>
          <w:p>
            <w:pPr>
              <w:ind w:firstLine="512" w:firstLineChars="200"/>
              <w:rPr>
                <w:rFonts w:hint="default" w:ascii="Times New Roman" w:hAnsi="Times New Roman" w:eastAsia="黑体" w:cs="Times New Roman"/>
                <w:color w:val="auto"/>
                <w:sz w:val="24"/>
              </w:rPr>
            </w:pPr>
            <w:r>
              <w:rPr>
                <w:rFonts w:hint="default" w:ascii="Times New Roman" w:hAnsi="Times New Roman" w:cs="Times New Roman"/>
                <w:color w:val="auto"/>
                <w:sz w:val="24"/>
              </w:rPr>
              <w:t>项目主要设备噪声污染源及源强见表4-</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w:t>
            </w:r>
          </w:p>
          <w:p>
            <w:pPr>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表4-</w:t>
            </w:r>
            <w:r>
              <w:rPr>
                <w:rFonts w:hint="default" w:ascii="Times New Roman" w:hAnsi="Times New Roman" w:eastAsia="黑体" w:cs="Times New Roman"/>
                <w:color w:val="auto"/>
                <w:sz w:val="24"/>
                <w:lang w:val="en-US" w:eastAsia="zh-CN"/>
              </w:rPr>
              <w:t>3</w:t>
            </w:r>
            <w:r>
              <w:rPr>
                <w:rFonts w:hint="eastAsia" w:ascii="Times New Roman" w:hAnsi="Times New Roman" w:eastAsia="黑体" w:cs="Times New Roman"/>
                <w:color w:val="auto"/>
                <w:sz w:val="24"/>
                <w:lang w:val="en-US" w:eastAsia="zh-CN"/>
              </w:rPr>
              <w:t xml:space="preserve">  </w:t>
            </w:r>
            <w:r>
              <w:rPr>
                <w:rFonts w:hint="default" w:ascii="Times New Roman" w:hAnsi="Times New Roman" w:eastAsia="黑体" w:cs="Times New Roman"/>
                <w:color w:val="auto"/>
                <w:sz w:val="24"/>
              </w:rPr>
              <w:t>工程主要设备噪声源强</w:t>
            </w:r>
          </w:p>
          <w:tbl>
            <w:tblPr>
              <w:tblStyle w:val="26"/>
              <w:tblW w:w="4997"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85"/>
              <w:gridCol w:w="1229"/>
              <w:gridCol w:w="1433"/>
              <w:gridCol w:w="1417"/>
              <w:gridCol w:w="2120"/>
              <w:gridCol w:w="207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33"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cs="Times New Roman"/>
                      <w:b/>
                      <w:color w:val="auto"/>
                      <w:sz w:val="21"/>
                    </w:rPr>
                  </w:pPr>
                  <w:r>
                    <w:rPr>
                      <w:rFonts w:hint="default" w:ascii="Times New Roman" w:hAnsi="Times New Roman" w:cs="Times New Roman"/>
                      <w:b/>
                      <w:color w:val="auto"/>
                      <w:sz w:val="21"/>
                    </w:rPr>
                    <w:t>序号</w:t>
                  </w:r>
                </w:p>
              </w:tc>
              <w:tc>
                <w:tcPr>
                  <w:tcW w:w="678"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cs="Times New Roman"/>
                      <w:b/>
                      <w:color w:val="auto"/>
                      <w:sz w:val="21"/>
                    </w:rPr>
                  </w:pPr>
                  <w:r>
                    <w:rPr>
                      <w:rFonts w:hint="default" w:ascii="Times New Roman" w:hAnsi="Times New Roman" w:cs="Times New Roman"/>
                      <w:b/>
                      <w:color w:val="auto"/>
                      <w:sz w:val="21"/>
                    </w:rPr>
                    <w:t>名称</w:t>
                  </w:r>
                </w:p>
              </w:tc>
              <w:tc>
                <w:tcPr>
                  <w:tcW w:w="791"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cs="Times New Roman"/>
                      <w:b/>
                      <w:color w:val="auto"/>
                      <w:sz w:val="21"/>
                    </w:rPr>
                  </w:pPr>
                  <w:r>
                    <w:rPr>
                      <w:rFonts w:hint="default" w:ascii="Times New Roman" w:hAnsi="Times New Roman" w:cs="Times New Roman"/>
                      <w:b/>
                      <w:color w:val="auto"/>
                      <w:sz w:val="21"/>
                    </w:rPr>
                    <w:t>单台设备源</w:t>
                  </w:r>
                </w:p>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Times New Roman" w:cs="Times New Roman"/>
                      <w:b/>
                      <w:color w:val="auto"/>
                      <w:sz w:val="21"/>
                    </w:rPr>
                  </w:pPr>
                  <w:r>
                    <w:rPr>
                      <w:rFonts w:hint="default" w:ascii="Times New Roman" w:hAnsi="Times New Roman" w:cs="Times New Roman"/>
                      <w:b/>
                      <w:color w:val="auto"/>
                      <w:sz w:val="21"/>
                    </w:rPr>
                    <w:t xml:space="preserve">强 </w:t>
                  </w:r>
                  <w:r>
                    <w:rPr>
                      <w:rFonts w:hint="default" w:ascii="Times New Roman" w:hAnsi="Times New Roman" w:eastAsia="Times New Roman" w:cs="Times New Roman"/>
                      <w:b/>
                      <w:color w:val="auto"/>
                      <w:sz w:val="21"/>
                    </w:rPr>
                    <w:t>dB(A)</w:t>
                  </w:r>
                </w:p>
              </w:tc>
              <w:tc>
                <w:tcPr>
                  <w:tcW w:w="782"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cs="Times New Roman"/>
                      <w:b/>
                      <w:color w:val="auto"/>
                      <w:sz w:val="21"/>
                    </w:rPr>
                  </w:pPr>
                  <w:r>
                    <w:rPr>
                      <w:rFonts w:hint="default" w:ascii="Times New Roman" w:hAnsi="Times New Roman" w:cs="Times New Roman"/>
                      <w:b/>
                      <w:color w:val="auto"/>
                      <w:sz w:val="21"/>
                    </w:rPr>
                    <w:t>数量</w:t>
                  </w:r>
                </w:p>
              </w:tc>
              <w:tc>
                <w:tcPr>
                  <w:tcW w:w="1170"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cs="Times New Roman"/>
                      <w:b/>
                      <w:color w:val="auto"/>
                      <w:sz w:val="21"/>
                    </w:rPr>
                  </w:pPr>
                  <w:r>
                    <w:rPr>
                      <w:rFonts w:hint="default" w:ascii="Times New Roman" w:hAnsi="Times New Roman" w:cs="Times New Roman"/>
                      <w:b/>
                      <w:color w:val="auto"/>
                      <w:sz w:val="21"/>
                    </w:rPr>
                    <w:t>治理措施</w:t>
                  </w:r>
                </w:p>
              </w:tc>
              <w:tc>
                <w:tcPr>
                  <w:tcW w:w="1143"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cs="Times New Roman"/>
                      <w:b/>
                      <w:color w:val="auto"/>
                      <w:sz w:val="21"/>
                    </w:rPr>
                  </w:pPr>
                  <w:r>
                    <w:rPr>
                      <w:rFonts w:hint="default" w:ascii="Times New Roman" w:hAnsi="Times New Roman" w:cs="Times New Roman"/>
                      <w:b/>
                      <w:color w:val="auto"/>
                      <w:sz w:val="21"/>
                    </w:rPr>
                    <w:t>治理后的噪声</w:t>
                  </w:r>
                </w:p>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cs="Times New Roman"/>
                      <w:b/>
                      <w:color w:val="auto"/>
                      <w:sz w:val="21"/>
                    </w:rPr>
                  </w:pPr>
                  <w:r>
                    <w:rPr>
                      <w:rFonts w:hint="default" w:ascii="Times New Roman" w:hAnsi="Times New Roman" w:cs="Times New Roman"/>
                      <w:b/>
                      <w:color w:val="auto"/>
                      <w:sz w:val="21"/>
                    </w:rPr>
                    <w:t>源强dB(A)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33"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cs="Times New Roman"/>
                      <w:color w:val="auto"/>
                      <w:sz w:val="21"/>
                    </w:rPr>
                  </w:pPr>
                  <w:r>
                    <w:rPr>
                      <w:rFonts w:hint="default" w:ascii="Times New Roman" w:hAnsi="Times New Roman" w:cs="Times New Roman"/>
                      <w:color w:val="auto"/>
                      <w:w w:val="99"/>
                      <w:sz w:val="21"/>
                    </w:rPr>
                    <w:t>1</w:t>
                  </w:r>
                </w:p>
              </w:tc>
              <w:tc>
                <w:tcPr>
                  <w:tcW w:w="678"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加油机</w:t>
                  </w:r>
                </w:p>
              </w:tc>
              <w:tc>
                <w:tcPr>
                  <w:tcW w:w="791"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70</w:t>
                  </w:r>
                </w:p>
              </w:tc>
              <w:tc>
                <w:tcPr>
                  <w:tcW w:w="782"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cs="Times New Roman"/>
                      <w:color w:val="auto"/>
                      <w:sz w:val="21"/>
                    </w:rPr>
                  </w:pPr>
                  <w:r>
                    <w:rPr>
                      <w:rFonts w:hint="default" w:ascii="Times New Roman" w:hAnsi="Times New Roman" w:eastAsia="宋体" w:cs="Times New Roman"/>
                      <w:color w:val="auto"/>
                      <w:sz w:val="21"/>
                      <w:lang w:val="en-US" w:eastAsia="zh-CN"/>
                    </w:rPr>
                    <w:t>7</w:t>
                  </w:r>
                  <w:r>
                    <w:rPr>
                      <w:rFonts w:hint="default" w:ascii="Times New Roman" w:hAnsi="Times New Roman" w:eastAsia="Times New Roman" w:cs="Times New Roman"/>
                      <w:color w:val="auto"/>
                      <w:sz w:val="21"/>
                    </w:rPr>
                    <w:t xml:space="preserve"> </w:t>
                  </w:r>
                  <w:r>
                    <w:rPr>
                      <w:rFonts w:hint="default" w:ascii="Times New Roman" w:hAnsi="Times New Roman" w:cs="Times New Roman"/>
                      <w:color w:val="auto"/>
                      <w:sz w:val="21"/>
                    </w:rPr>
                    <w:t>台</w:t>
                  </w:r>
                </w:p>
              </w:tc>
              <w:tc>
                <w:tcPr>
                  <w:tcW w:w="1170" w:type="pct"/>
                  <w:vMerge w:val="restar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低噪声设备、基础减振、隔声</w:t>
                  </w:r>
                </w:p>
              </w:tc>
              <w:tc>
                <w:tcPr>
                  <w:tcW w:w="1143"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55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33"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cs="Times New Roman"/>
                      <w:color w:val="auto"/>
                      <w:sz w:val="21"/>
                    </w:rPr>
                  </w:pPr>
                  <w:r>
                    <w:rPr>
                      <w:rFonts w:hint="default" w:ascii="Times New Roman" w:hAnsi="Times New Roman" w:cs="Times New Roman"/>
                      <w:color w:val="auto"/>
                      <w:w w:val="99"/>
                      <w:sz w:val="21"/>
                    </w:rPr>
                    <w:t>2</w:t>
                  </w:r>
                </w:p>
              </w:tc>
              <w:tc>
                <w:tcPr>
                  <w:tcW w:w="678"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潜油泵</w:t>
                  </w:r>
                </w:p>
              </w:tc>
              <w:tc>
                <w:tcPr>
                  <w:tcW w:w="791"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80</w:t>
                  </w:r>
                </w:p>
              </w:tc>
              <w:tc>
                <w:tcPr>
                  <w:tcW w:w="782"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cs="Times New Roman"/>
                      <w:color w:val="auto"/>
                      <w:sz w:val="21"/>
                    </w:rPr>
                  </w:pPr>
                  <w:r>
                    <w:rPr>
                      <w:rFonts w:hint="default" w:ascii="Times New Roman" w:hAnsi="Times New Roman" w:eastAsia="Times New Roman" w:cs="Times New Roman"/>
                      <w:color w:val="auto"/>
                      <w:sz w:val="21"/>
                    </w:rPr>
                    <w:t xml:space="preserve">4 </w:t>
                  </w:r>
                  <w:r>
                    <w:rPr>
                      <w:rFonts w:hint="default" w:ascii="Times New Roman" w:hAnsi="Times New Roman" w:cs="Times New Roman"/>
                      <w:color w:val="auto"/>
                      <w:sz w:val="21"/>
                    </w:rPr>
                    <w:t>台</w:t>
                  </w:r>
                </w:p>
              </w:tc>
              <w:tc>
                <w:tcPr>
                  <w:tcW w:w="1170"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cs="Times New Roman"/>
                      <w:color w:val="auto"/>
                      <w:sz w:val="2"/>
                      <w:szCs w:val="2"/>
                    </w:rPr>
                  </w:pPr>
                </w:p>
              </w:tc>
              <w:tc>
                <w:tcPr>
                  <w:tcW w:w="1143" w:type="pct"/>
                  <w:tcBorders>
                    <w:tl2br w:val="nil"/>
                    <w:tr2bl w:val="nil"/>
                  </w:tcBorders>
                  <w:vAlign w:val="center"/>
                </w:tcPr>
                <w:p>
                  <w:pPr>
                    <w:pStyle w:val="77"/>
                    <w:keepNext w:val="0"/>
                    <w:keepLines w:val="0"/>
                    <w:pageBreakBefore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50</w:t>
                  </w:r>
                </w:p>
              </w:tc>
            </w:tr>
          </w:tbl>
          <w:p>
            <w:pPr>
              <w:jc w:val="left"/>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3.2环境影响分析</w:t>
            </w:r>
          </w:p>
          <w:p>
            <w:pPr>
              <w:ind w:firstLine="512"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根据《环境影响评价技术导则—声环境》(HJ2.4-2009)中的噪声预测模式：采用点声源衰减预测模式和声压级叠加模式，预测噪声源对各厂界噪声评价点和环境敏感点的贡献值。</w:t>
            </w:r>
          </w:p>
          <w:p>
            <w:pPr>
              <w:ind w:firstLine="512"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（1）点声源衰减模式：</w:t>
            </w:r>
          </w:p>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L(r)=L(r</w:t>
            </w:r>
            <w:r>
              <w:rPr>
                <w:rFonts w:hint="default" w:ascii="Times New Roman" w:hAnsi="Times New Roman" w:eastAsia="宋体" w:cs="Times New Roman"/>
                <w:color w:val="auto"/>
                <w:sz w:val="24"/>
                <w:szCs w:val="24"/>
                <w:highlight w:val="none"/>
                <w:vertAlign w:val="subscript"/>
                <w:lang w:val="en-US" w:eastAsia="zh-CN"/>
              </w:rPr>
              <w:t>0</w:t>
            </w:r>
            <w:r>
              <w:rPr>
                <w:rFonts w:hint="default" w:ascii="Times New Roman" w:hAnsi="Times New Roman" w:eastAsia="宋体" w:cs="Times New Roman"/>
                <w:color w:val="auto"/>
                <w:sz w:val="24"/>
                <w:szCs w:val="24"/>
                <w:highlight w:val="none"/>
                <w:lang w:val="en-US" w:eastAsia="zh-CN"/>
              </w:rPr>
              <w:t>)－20lg(r/r</w:t>
            </w:r>
            <w:r>
              <w:rPr>
                <w:rFonts w:hint="default" w:ascii="Times New Roman" w:hAnsi="Times New Roman" w:eastAsia="宋体" w:cs="Times New Roman"/>
                <w:color w:val="auto"/>
                <w:sz w:val="24"/>
                <w:szCs w:val="24"/>
                <w:highlight w:val="none"/>
                <w:vertAlign w:val="subscript"/>
                <w:lang w:val="en-US" w:eastAsia="zh-CN"/>
              </w:rPr>
              <w:t>0</w:t>
            </w:r>
            <w:r>
              <w:rPr>
                <w:rFonts w:hint="default" w:ascii="Times New Roman" w:hAnsi="Times New Roman" w:eastAsia="宋体" w:cs="Times New Roman"/>
                <w:color w:val="auto"/>
                <w:sz w:val="24"/>
                <w:szCs w:val="24"/>
                <w:highlight w:val="none"/>
                <w:lang w:val="en-US" w:eastAsia="zh-CN"/>
              </w:rPr>
              <w:t>)－△L</w:t>
            </w:r>
          </w:p>
          <w:p>
            <w:pPr>
              <w:ind w:firstLine="512"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式中：L(r)—距声源r处预测点噪声值，dB(A)；</w:t>
            </w:r>
          </w:p>
          <w:p>
            <w:pPr>
              <w:ind w:firstLine="1280" w:firstLineChars="5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L(r</w:t>
            </w:r>
            <w:r>
              <w:rPr>
                <w:rFonts w:hint="default" w:ascii="Times New Roman" w:hAnsi="Times New Roman" w:eastAsia="宋体" w:cs="Times New Roman"/>
                <w:color w:val="auto"/>
                <w:sz w:val="24"/>
                <w:szCs w:val="24"/>
                <w:highlight w:val="none"/>
                <w:vertAlign w:val="subscript"/>
                <w:lang w:val="en-US" w:eastAsia="zh-CN"/>
              </w:rPr>
              <w:t>0</w:t>
            </w:r>
            <w:r>
              <w:rPr>
                <w:rFonts w:hint="default" w:ascii="Times New Roman" w:hAnsi="Times New Roman" w:eastAsia="宋体" w:cs="Times New Roman"/>
                <w:color w:val="auto"/>
                <w:sz w:val="24"/>
                <w:szCs w:val="24"/>
                <w:highlight w:val="none"/>
                <w:lang w:val="en-US" w:eastAsia="zh-CN"/>
              </w:rPr>
              <w:t>)—参考点r</w:t>
            </w:r>
            <w:r>
              <w:rPr>
                <w:rFonts w:hint="default" w:ascii="Times New Roman" w:hAnsi="Times New Roman" w:eastAsia="宋体" w:cs="Times New Roman"/>
                <w:color w:val="auto"/>
                <w:sz w:val="24"/>
                <w:szCs w:val="24"/>
                <w:highlight w:val="none"/>
                <w:vertAlign w:val="subscript"/>
                <w:lang w:val="en-US" w:eastAsia="zh-CN"/>
              </w:rPr>
              <w:t>0</w:t>
            </w:r>
            <w:r>
              <w:rPr>
                <w:rFonts w:hint="default" w:ascii="Times New Roman" w:hAnsi="Times New Roman" w:eastAsia="宋体" w:cs="Times New Roman"/>
                <w:color w:val="auto"/>
                <w:sz w:val="24"/>
                <w:szCs w:val="24"/>
                <w:highlight w:val="none"/>
                <w:lang w:val="en-US" w:eastAsia="zh-CN"/>
              </w:rPr>
              <w:t>处噪声值，dB(A)；</w:t>
            </w:r>
          </w:p>
          <w:p>
            <w:pPr>
              <w:ind w:firstLine="1280" w:firstLineChars="5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△L—房屋、树木等对噪声衰减值，dB(A)，取5dB(A)</w:t>
            </w:r>
          </w:p>
          <w:p>
            <w:pPr>
              <w:ind w:firstLine="1280" w:firstLineChars="5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r—预测点距噪声源距离，m；</w:t>
            </w:r>
          </w:p>
          <w:p>
            <w:pPr>
              <w:ind w:firstLine="1280" w:firstLineChars="5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r</w:t>
            </w:r>
            <w:r>
              <w:rPr>
                <w:rFonts w:hint="default" w:ascii="Times New Roman" w:hAnsi="Times New Roman" w:eastAsia="宋体" w:cs="Times New Roman"/>
                <w:color w:val="auto"/>
                <w:sz w:val="24"/>
                <w:szCs w:val="24"/>
                <w:highlight w:val="none"/>
                <w:vertAlign w:val="subscript"/>
                <w:lang w:val="en-US" w:eastAsia="zh-CN"/>
              </w:rPr>
              <w:t>0</w:t>
            </w:r>
            <w:r>
              <w:rPr>
                <w:rFonts w:hint="default" w:ascii="Times New Roman" w:hAnsi="Times New Roman" w:eastAsia="宋体" w:cs="Times New Roman"/>
                <w:color w:val="auto"/>
                <w:sz w:val="24"/>
                <w:szCs w:val="24"/>
                <w:highlight w:val="none"/>
                <w:lang w:val="en-US" w:eastAsia="zh-CN"/>
              </w:rPr>
              <w:t>—参考位置距噪声源距离，m。</w:t>
            </w:r>
          </w:p>
          <w:p>
            <w:pPr>
              <w:ind w:firstLine="512"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（2）声压级合成模式</w:t>
            </w:r>
          </w:p>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object>
                <v:shape id="_x0000_i1028" o:spt="75" type="#_x0000_t75" style="height:34pt;width:109pt;" o:ole="t" filled="f" o:preferrelative="t" stroked="f" coordsize="21600,21600">
                  <v:path/>
                  <v:fill on="f" focussize="0,0"/>
                  <v:stroke on="f"/>
                  <v:imagedata r:id="rId15" o:title=""/>
                  <o:lock v:ext="edit" aspectratio="t"/>
                  <w10:wrap type="none"/>
                  <w10:anchorlock/>
                </v:shape>
                <o:OLEObject Type="Embed" ProgID="Equation.KSEE3" ShapeID="_x0000_i1028" DrawAspect="Content" ObjectID="_1468075728" r:id="rId14">
                  <o:LockedField>false</o:LockedField>
                </o:OLEObject>
              </w:object>
            </w:r>
          </w:p>
          <w:p>
            <w:pPr>
              <w:ind w:firstLine="512"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式中：Leqs—n个声压级的合成声压级，dB(A)；</w:t>
            </w:r>
          </w:p>
          <w:p>
            <w:pPr>
              <w:ind w:firstLine="1280" w:firstLineChars="5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L</w:t>
            </w:r>
            <w:r>
              <w:rPr>
                <w:rFonts w:hint="default" w:ascii="Times New Roman" w:hAnsi="Times New Roman" w:eastAsia="宋体" w:cs="Times New Roman"/>
                <w:color w:val="auto"/>
                <w:sz w:val="24"/>
                <w:szCs w:val="24"/>
                <w:highlight w:val="none"/>
                <w:vertAlign w:val="subscript"/>
                <w:lang w:val="en-US" w:eastAsia="zh-CN"/>
              </w:rPr>
              <w:t>Ai</w:t>
            </w:r>
            <w:r>
              <w:rPr>
                <w:rFonts w:hint="default" w:ascii="Times New Roman" w:hAnsi="Times New Roman" w:eastAsia="宋体" w:cs="Times New Roman"/>
                <w:color w:val="auto"/>
                <w:sz w:val="24"/>
                <w:szCs w:val="24"/>
                <w:highlight w:val="none"/>
                <w:lang w:val="en-US" w:eastAsia="zh-CN"/>
              </w:rPr>
              <w:t>—各声源的A声级，dB(A)。</w:t>
            </w:r>
          </w:p>
          <w:p>
            <w:pPr>
              <w:ind w:firstLine="512" w:firstLineChars="200"/>
              <w:jc w:val="left"/>
              <w:rPr>
                <w:rFonts w:hint="default" w:ascii="Times New Roman" w:hAnsi="Times New Roman" w:cs="Times New Roman"/>
                <w:color w:val="auto"/>
              </w:rPr>
            </w:pPr>
            <w:r>
              <w:rPr>
                <w:rFonts w:hint="default" w:ascii="Times New Roman" w:hAnsi="Times New Roman" w:eastAsia="宋体" w:cs="Times New Roman"/>
                <w:color w:val="auto"/>
                <w:sz w:val="24"/>
                <w:szCs w:val="24"/>
                <w:highlight w:val="none"/>
                <w:lang w:val="en-US" w:eastAsia="zh-CN"/>
              </w:rPr>
              <w:t>该项目运营期在昼间、夜间噪声源强一致，故只进行一次预测，预测结果适用于项目昼夜情况，厂界噪声预测值结果</w:t>
            </w:r>
            <w:r>
              <w:rPr>
                <w:rFonts w:hint="default" w:ascii="Times New Roman" w:hAnsi="Times New Roman" w:eastAsia="宋体" w:cs="Times New Roman"/>
                <w:color w:val="auto"/>
                <w:sz w:val="24"/>
                <w:szCs w:val="24"/>
                <w:lang w:val="en-US" w:eastAsia="zh-CN"/>
              </w:rPr>
              <w:t>预测图如下图。</w:t>
            </w:r>
          </w:p>
          <w:p>
            <w:pPr>
              <w:jc w:val="center"/>
              <w:rPr>
                <w:rFonts w:hint="default" w:ascii="Times New Roman" w:hAnsi="Times New Roman" w:eastAsia="黑体" w:cs="Times New Roman"/>
                <w:color w:val="auto"/>
                <w:sz w:val="24"/>
              </w:rPr>
            </w:pPr>
            <w:r>
              <w:rPr>
                <w:rFonts w:hint="default" w:ascii="Times New Roman" w:hAnsi="Times New Roman" w:cs="Times New Roman"/>
                <w:color w:val="auto"/>
              </w:rPr>
              <w:drawing>
                <wp:inline distT="0" distB="0" distL="114300" distR="114300">
                  <wp:extent cx="5739130" cy="4089400"/>
                  <wp:effectExtent l="0" t="0" r="13970" b="635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6"/>
                          <a:stretch>
                            <a:fillRect/>
                          </a:stretch>
                        </pic:blipFill>
                        <pic:spPr>
                          <a:xfrm>
                            <a:off x="0" y="0"/>
                            <a:ext cx="5739130" cy="4089400"/>
                          </a:xfrm>
                          <a:prstGeom prst="rect">
                            <a:avLst/>
                          </a:prstGeom>
                          <a:noFill/>
                          <a:ln>
                            <a:noFill/>
                          </a:ln>
                        </pic:spPr>
                      </pic:pic>
                    </a:graphicData>
                  </a:graphic>
                </wp:inline>
              </w:drawing>
            </w:r>
          </w:p>
          <w:p>
            <w:pPr>
              <w:ind w:firstLine="512" w:firstLineChars="200"/>
              <w:jc w:val="center"/>
              <w:rPr>
                <w:rFonts w:hint="default" w:ascii="Times New Roman" w:hAnsi="Times New Roman" w:eastAsia="宋体" w:cs="Times New Roman"/>
                <w:color w:val="auto"/>
                <w:sz w:val="24"/>
              </w:rPr>
            </w:pPr>
            <w:r>
              <w:rPr>
                <w:rFonts w:hint="default" w:ascii="Times New Roman" w:hAnsi="Times New Roman" w:eastAsia="黑体" w:cs="Times New Roman"/>
                <w:b w:val="0"/>
                <w:bCs w:val="0"/>
                <w:color w:val="auto"/>
                <w:sz w:val="24"/>
                <w:szCs w:val="24"/>
                <w:lang w:val="en-US" w:eastAsia="zh-CN"/>
              </w:rPr>
              <w:t>图4-1  厂界噪声预测</w:t>
            </w:r>
          </w:p>
          <w:p>
            <w:pPr>
              <w:ind w:firstLine="512" w:firstLineChars="200"/>
              <w:jc w:val="left"/>
              <w:rPr>
                <w:rFonts w:hint="default" w:ascii="Times New Roman" w:hAnsi="Times New Roman" w:eastAsia="宋体" w:cs="Times New Roman"/>
                <w:color w:val="auto"/>
                <w:sz w:val="24"/>
              </w:rPr>
            </w:pPr>
            <w:r>
              <w:rPr>
                <w:rFonts w:hint="default" w:ascii="Times New Roman" w:hAnsi="Times New Roman" w:cs="Times New Roman"/>
                <w:color w:val="auto"/>
                <w:sz w:val="24"/>
                <w:lang w:val="en-US" w:eastAsia="zh-CN"/>
              </w:rPr>
              <w:t>由图可知</w:t>
            </w:r>
            <w:r>
              <w:rPr>
                <w:rFonts w:hint="default" w:ascii="Times New Roman" w:hAnsi="Times New Roman" w:eastAsia="宋体" w:cs="Times New Roman"/>
                <w:color w:val="auto"/>
                <w:sz w:val="24"/>
              </w:rPr>
              <w:t>，厂界监测值</w:t>
            </w:r>
            <w:r>
              <w:rPr>
                <w:rFonts w:hint="default" w:ascii="Times New Roman" w:hAnsi="Times New Roman" w:eastAsia="宋体" w:cs="Times New Roman"/>
                <w:color w:val="auto"/>
                <w:sz w:val="24"/>
                <w:lang w:val="en-US" w:eastAsia="zh-CN"/>
              </w:rPr>
              <w:t>可</w:t>
            </w:r>
            <w:r>
              <w:rPr>
                <w:rFonts w:hint="default" w:ascii="Times New Roman" w:hAnsi="Times New Roman" w:eastAsia="宋体" w:cs="Times New Roman"/>
                <w:color w:val="auto"/>
                <w:sz w:val="24"/>
              </w:rPr>
              <w:t>满足《工业企业厂界环境噪声排放标准》（GB12348-2008）2类标准要求，对周边环境影响较小。</w:t>
            </w:r>
          </w:p>
          <w:p>
            <w:pPr>
              <w:jc w:val="left"/>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3.3监测计划</w:t>
            </w:r>
          </w:p>
          <w:p>
            <w:pPr>
              <w:pStyle w:val="43"/>
              <w:ind w:firstLine="514"/>
              <w:rPr>
                <w:rFonts w:hint="default" w:ascii="Times New Roman" w:hAnsi="Times New Roman" w:cs="Times New Roman"/>
                <w:color w:val="auto"/>
              </w:rPr>
            </w:pPr>
            <w:r>
              <w:rPr>
                <w:rFonts w:hint="default" w:ascii="Times New Roman" w:hAnsi="Times New Roman" w:cs="Times New Roman"/>
                <w:color w:val="auto"/>
              </w:rPr>
              <w:t>本项目噪声监测要求见下表。</w:t>
            </w:r>
          </w:p>
          <w:p>
            <w:pPr>
              <w:pStyle w:val="106"/>
              <w:adjustRightInd/>
              <w:ind w:firstLine="454"/>
              <w:rPr>
                <w:rFonts w:hint="default" w:ascii="Times New Roman" w:hAnsi="Times New Roman" w:cs="Times New Roman"/>
                <w:color w:val="auto"/>
              </w:rPr>
            </w:pPr>
            <w:r>
              <w:rPr>
                <w:rFonts w:hint="default" w:ascii="Times New Roman" w:hAnsi="Times New Roman" w:cs="Times New Roman"/>
                <w:color w:val="auto"/>
              </w:rPr>
              <w:t>表4-</w:t>
            </w:r>
            <w:r>
              <w:rPr>
                <w:rFonts w:hint="default" w:ascii="Times New Roman" w:hAnsi="Times New Roman" w:cs="Times New Roman"/>
                <w:color w:val="auto"/>
                <w:lang w:val="en-US" w:eastAsia="zh-CN"/>
              </w:rPr>
              <w:t xml:space="preserve">4  </w:t>
            </w:r>
            <w:r>
              <w:rPr>
                <w:rFonts w:hint="default" w:ascii="Times New Roman" w:hAnsi="Times New Roman" w:cs="Times New Roman"/>
                <w:color w:val="auto"/>
              </w:rPr>
              <w:t>项目运营期厂界噪声监测计划</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33"/>
              <w:gridCol w:w="2266"/>
              <w:gridCol w:w="1425"/>
              <w:gridCol w:w="32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77" w:type="pct"/>
                  <w:shd w:val="clear" w:color="auto" w:fill="auto"/>
                  <w:vAlign w:val="center"/>
                </w:tcPr>
                <w:p>
                  <w:pPr>
                    <w:pStyle w:val="106"/>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rPr>
                  </w:pPr>
                  <w:r>
                    <w:rPr>
                      <w:rFonts w:hint="default" w:ascii="Times New Roman" w:hAnsi="Times New Roman" w:eastAsia="宋体" w:cs="Times New Roman"/>
                      <w:b/>
                      <w:bCs w:val="0"/>
                      <w:color w:val="auto"/>
                      <w:sz w:val="21"/>
                    </w:rPr>
                    <w:t>监测点位</w:t>
                  </w:r>
                </w:p>
              </w:tc>
              <w:tc>
                <w:tcPr>
                  <w:tcW w:w="1250" w:type="pct"/>
                  <w:vAlign w:val="center"/>
                </w:tcPr>
                <w:p>
                  <w:pPr>
                    <w:pStyle w:val="106"/>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rPr>
                  </w:pPr>
                  <w:r>
                    <w:rPr>
                      <w:rFonts w:hint="default" w:ascii="Times New Roman" w:hAnsi="Times New Roman" w:eastAsia="宋体" w:cs="Times New Roman"/>
                      <w:b/>
                      <w:bCs w:val="0"/>
                      <w:color w:val="auto"/>
                      <w:sz w:val="21"/>
                    </w:rPr>
                    <w:t>监测频次</w:t>
                  </w:r>
                </w:p>
              </w:tc>
              <w:tc>
                <w:tcPr>
                  <w:tcW w:w="786" w:type="pct"/>
                  <w:shd w:val="clear" w:color="auto" w:fill="auto"/>
                  <w:vAlign w:val="center"/>
                </w:tcPr>
                <w:p>
                  <w:pPr>
                    <w:pStyle w:val="106"/>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rPr>
                  </w:pPr>
                  <w:r>
                    <w:rPr>
                      <w:rFonts w:hint="default" w:ascii="Times New Roman" w:hAnsi="Times New Roman" w:eastAsia="宋体" w:cs="Times New Roman"/>
                      <w:b/>
                      <w:bCs w:val="0"/>
                      <w:color w:val="auto"/>
                      <w:sz w:val="21"/>
                    </w:rPr>
                    <w:t>污染因子</w:t>
                  </w:r>
                </w:p>
              </w:tc>
              <w:tc>
                <w:tcPr>
                  <w:tcW w:w="1785" w:type="pct"/>
                  <w:shd w:val="clear" w:color="auto" w:fill="auto"/>
                  <w:vAlign w:val="center"/>
                </w:tcPr>
                <w:p>
                  <w:pPr>
                    <w:pStyle w:val="106"/>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rPr>
                  </w:pPr>
                  <w:r>
                    <w:rPr>
                      <w:rFonts w:hint="default" w:ascii="Times New Roman" w:hAnsi="Times New Roman" w:eastAsia="宋体" w:cs="Times New Roman"/>
                      <w:b/>
                      <w:bCs w:val="0"/>
                      <w:color w:val="auto"/>
                      <w:sz w:val="21"/>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77" w:type="pct"/>
                  <w:shd w:val="clear" w:color="auto" w:fill="auto"/>
                  <w:vAlign w:val="center"/>
                </w:tcPr>
                <w:p>
                  <w:pPr>
                    <w:pStyle w:val="106"/>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厂界</w:t>
                  </w:r>
                </w:p>
              </w:tc>
              <w:tc>
                <w:tcPr>
                  <w:tcW w:w="1250"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rPr>
                    <w:t>每季度检测一次</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kern w:val="0"/>
                    </w:rPr>
                    <w:t>（昼夜各一次）</w:t>
                  </w:r>
                </w:p>
              </w:tc>
              <w:tc>
                <w:tcPr>
                  <w:tcW w:w="786" w:type="pct"/>
                  <w:shd w:val="clear" w:color="auto" w:fill="auto"/>
                  <w:vAlign w:val="center"/>
                </w:tcPr>
                <w:p>
                  <w:pPr>
                    <w:pStyle w:val="106"/>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噪声</w:t>
                  </w:r>
                </w:p>
              </w:tc>
              <w:tc>
                <w:tcPr>
                  <w:tcW w:w="1785" w:type="pct"/>
                  <w:shd w:val="clear" w:color="auto" w:fill="auto"/>
                  <w:vAlign w:val="center"/>
                </w:tcPr>
                <w:p>
                  <w:pPr>
                    <w:pStyle w:val="106"/>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《工业企业厂界环境噪声排放标准》(GB12348-2008)2类标准</w:t>
                  </w:r>
                </w:p>
              </w:tc>
            </w:tr>
          </w:tbl>
          <w:p>
            <w:pPr>
              <w:jc w:val="left"/>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4固体废物</w:t>
            </w:r>
          </w:p>
          <w:p>
            <w:pPr>
              <w:ind w:firstLine="512" w:firstLineChars="200"/>
              <w:jc w:val="left"/>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本项目运营期产生的固体废物主要为生产固废和职工办公生活垃圾。</w:t>
            </w:r>
          </w:p>
          <w:p>
            <w:pPr>
              <w:ind w:firstLine="512" w:firstLineChars="200"/>
              <w:jc w:val="left"/>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①生产固废</w:t>
            </w:r>
          </w:p>
          <w:p>
            <w:pPr>
              <w:ind w:firstLine="512" w:firstLineChars="200"/>
              <w:jc w:val="left"/>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项目生产性固废主要包括油罐油泥。燃料油储存过程中会产生油泥，其危险废弃物类别属于HW08废矿物油与含矿物油废物，废物代码为900-221-08，储油罐产生的油泥定期清除，项目加油站油罐一般5年清洗一次，采用垫水排出底油或机械抽吸排出底油的方法，油罐清洗产生的废液、废渣及底油由专业清洗单位直接运走并交由资质单位安全处置，不在站内暂存，每次产生量约为1.2t。</w:t>
            </w:r>
          </w:p>
          <w:p>
            <w:pPr>
              <w:ind w:firstLine="512" w:firstLineChars="200"/>
              <w:jc w:val="left"/>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②含油废物</w:t>
            </w:r>
          </w:p>
          <w:p>
            <w:pPr>
              <w:ind w:firstLine="512" w:firstLineChars="200"/>
              <w:jc w:val="left"/>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含油废弃手套、抹布：本项目含油废弃手套、抹布产生量约为0.2t/a。含油抹布和手套属于《国家危险废物名录》（2021年版）中HW49（900-041-49含有或沾染毒性、感染性危险废物的废弃包装物、容器、过滤吸附介质）危险废物，</w:t>
            </w:r>
            <w:r>
              <w:rPr>
                <w:rFonts w:hint="eastAsia" w:cs="Times New Roman"/>
                <w:color w:val="auto"/>
                <w:sz w:val="24"/>
                <w:szCs w:val="24"/>
                <w:lang w:val="en-US" w:eastAsia="zh-CN"/>
              </w:rPr>
              <w:t>产生的危险废物直接</w:t>
            </w:r>
            <w:r>
              <w:rPr>
                <w:rFonts w:hint="default" w:ascii="Times New Roman" w:hAnsi="Times New Roman" w:eastAsia="宋体" w:cs="Times New Roman"/>
                <w:color w:val="auto"/>
                <w:sz w:val="24"/>
                <w:szCs w:val="24"/>
                <w:lang w:val="zh-CN"/>
              </w:rPr>
              <w:t>交由</w:t>
            </w:r>
            <w:r>
              <w:rPr>
                <w:rFonts w:hint="eastAsia" w:cs="Times New Roman"/>
                <w:color w:val="auto"/>
                <w:sz w:val="24"/>
                <w:szCs w:val="24"/>
                <w:lang w:val="en-US" w:eastAsia="zh-CN"/>
              </w:rPr>
              <w:t>有</w:t>
            </w:r>
            <w:r>
              <w:rPr>
                <w:rFonts w:hint="default" w:ascii="Times New Roman" w:hAnsi="Times New Roman" w:eastAsia="宋体" w:cs="Times New Roman"/>
                <w:color w:val="auto"/>
                <w:sz w:val="24"/>
                <w:szCs w:val="24"/>
                <w:lang w:val="zh-CN"/>
              </w:rPr>
              <w:t>资质单位安全处置，不在站内暂存</w:t>
            </w:r>
            <w:r>
              <w:rPr>
                <w:rFonts w:hint="eastAsia" w:ascii="Times New Roman" w:hAnsi="Times New Roman" w:eastAsia="宋体" w:cs="Times New Roman"/>
                <w:color w:val="auto"/>
                <w:sz w:val="24"/>
                <w:szCs w:val="24"/>
                <w:lang w:val="zh-CN"/>
              </w:rPr>
              <w:t>。</w:t>
            </w:r>
          </w:p>
          <w:p>
            <w:pPr>
              <w:ind w:firstLine="512" w:firstLineChars="200"/>
              <w:jc w:val="left"/>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②生活垃圾</w:t>
            </w:r>
          </w:p>
          <w:p>
            <w:pPr>
              <w:ind w:firstLine="512" w:firstLineChars="200"/>
              <w:jc w:val="left"/>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项目运营期站内劳动定员约6人，每人每天产生生活垃圾0.5kg计，则项目人员产生的生活垃圾3kg/d，年产生活垃圾1.09t/a；每天加油站的司乘人员按150人计，每人每天产生生活垃圾0.1kg，则司乘人员产生的生活垃圾15kg/d，年产生活垃圾5.48t/a；两项合计生活垃圾产生量为18kg/d，年产生活垃6.57t/a。</w:t>
            </w:r>
          </w:p>
          <w:p>
            <w:pPr>
              <w:ind w:firstLine="512" w:firstLineChars="200"/>
              <w:jc w:val="left"/>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项目固体废物产生情况见下表。</w:t>
            </w:r>
          </w:p>
          <w:p>
            <w:pPr>
              <w:keepNext w:val="0"/>
              <w:keepLines w:val="0"/>
              <w:widowControl/>
              <w:suppressLineNumbers w:val="0"/>
              <w:jc w:val="center"/>
              <w:rPr>
                <w:rFonts w:hint="default" w:ascii="Times New Roman" w:hAnsi="Times New Roman" w:eastAsia="黑体" w:cs="Times New Roman"/>
                <w:b w:val="0"/>
                <w:bCs w:val="0"/>
                <w:color w:val="auto"/>
                <w:sz w:val="24"/>
                <w:szCs w:val="24"/>
                <w:lang w:val="zh-CN"/>
              </w:rPr>
            </w:pPr>
            <w:r>
              <w:rPr>
                <w:rFonts w:hint="default" w:ascii="Times New Roman" w:hAnsi="Times New Roman" w:eastAsia="黑体" w:cs="Times New Roman"/>
                <w:b w:val="0"/>
                <w:bCs w:val="0"/>
                <w:color w:val="auto"/>
                <w:kern w:val="0"/>
                <w:sz w:val="24"/>
                <w:szCs w:val="24"/>
                <w:lang w:val="en-US" w:eastAsia="zh-CN" w:bidi="ar"/>
              </w:rPr>
              <w:t>表4-5  项目固体废物产生情况一览表</w:t>
            </w:r>
          </w:p>
          <w:tbl>
            <w:tblPr>
              <w:tblStyle w:val="27"/>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9"/>
              <w:gridCol w:w="2381"/>
              <w:gridCol w:w="1590"/>
              <w:gridCol w:w="2405"/>
              <w:gridCol w:w="16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序号</w:t>
                  </w:r>
                </w:p>
              </w:tc>
              <w:tc>
                <w:tcPr>
                  <w:tcW w:w="23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污染物</w:t>
                  </w:r>
                </w:p>
              </w:tc>
              <w:tc>
                <w:tcPr>
                  <w:tcW w:w="1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产物环节</w:t>
                  </w:r>
                </w:p>
              </w:tc>
              <w:tc>
                <w:tcPr>
                  <w:tcW w:w="24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性质</w:t>
                  </w:r>
                </w:p>
              </w:tc>
              <w:tc>
                <w:tcPr>
                  <w:tcW w:w="16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产生量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23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生活垃圾</w:t>
                  </w:r>
                </w:p>
              </w:tc>
              <w:tc>
                <w:tcPr>
                  <w:tcW w:w="1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职工办公</w:t>
                  </w:r>
                </w:p>
              </w:tc>
              <w:tc>
                <w:tcPr>
                  <w:tcW w:w="24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一般固体废物</w:t>
                  </w:r>
                </w:p>
              </w:tc>
              <w:tc>
                <w:tcPr>
                  <w:tcW w:w="16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6.57</w:t>
                  </w:r>
                  <w:r>
                    <w:rPr>
                      <w:rFonts w:hint="default" w:ascii="Times New Roman" w:hAnsi="Times New Roman" w:eastAsia="宋体" w:cs="Times New Roman"/>
                      <w:color w:val="auto"/>
                      <w:sz w:val="21"/>
                      <w:szCs w:val="21"/>
                      <w:lang w:val="zh-CN"/>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23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lang w:val="zh-CN"/>
                    </w:rPr>
                  </w:pPr>
                  <w:r>
                    <w:rPr>
                      <w:rFonts w:hint="default" w:ascii="Times New Roman" w:hAnsi="Times New Roman" w:eastAsia="宋体" w:cs="Times New Roman"/>
                      <w:color w:val="auto"/>
                      <w:sz w:val="21"/>
                      <w:szCs w:val="21"/>
                      <w:lang w:val="zh-CN"/>
                    </w:rPr>
                    <w:t>油泥</w:t>
                  </w:r>
                </w:p>
              </w:tc>
              <w:tc>
                <w:tcPr>
                  <w:tcW w:w="1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lang w:val="zh-CN"/>
                    </w:rPr>
                  </w:pPr>
                  <w:r>
                    <w:rPr>
                      <w:rFonts w:hint="default" w:ascii="Times New Roman" w:hAnsi="Times New Roman" w:eastAsia="宋体" w:cs="Times New Roman"/>
                      <w:color w:val="auto"/>
                      <w:sz w:val="21"/>
                      <w:szCs w:val="21"/>
                      <w:lang w:val="en-US" w:eastAsia="zh-CN"/>
                    </w:rPr>
                    <w:t>清洗</w:t>
                  </w:r>
                  <w:r>
                    <w:rPr>
                      <w:rFonts w:hint="default" w:ascii="Times New Roman" w:hAnsi="Times New Roman" w:eastAsia="宋体" w:cs="Times New Roman"/>
                      <w:color w:val="auto"/>
                      <w:sz w:val="21"/>
                      <w:szCs w:val="21"/>
                      <w:lang w:val="zh-CN"/>
                    </w:rPr>
                    <w:t>油罐</w:t>
                  </w:r>
                </w:p>
              </w:tc>
              <w:tc>
                <w:tcPr>
                  <w:tcW w:w="24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危险废物（HW08-900-221-08）</w:t>
                  </w:r>
                </w:p>
              </w:tc>
              <w:tc>
                <w:tcPr>
                  <w:tcW w:w="16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1.2t/5a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9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23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含油废弃手套、抹布</w:t>
                  </w:r>
                </w:p>
              </w:tc>
              <w:tc>
                <w:tcPr>
                  <w:tcW w:w="1590"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日常维护</w:t>
                  </w:r>
                </w:p>
              </w:tc>
              <w:tc>
                <w:tcPr>
                  <w:tcW w:w="24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（HW49</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zh-CN"/>
                    </w:rPr>
                    <w:t>900-041-49）</w:t>
                  </w:r>
                </w:p>
              </w:tc>
              <w:tc>
                <w:tcPr>
                  <w:tcW w:w="16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0.2t/a</w:t>
                  </w:r>
                </w:p>
              </w:tc>
            </w:tr>
          </w:tbl>
          <w:p>
            <w:pPr>
              <w:jc w:val="left"/>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5</w:t>
            </w:r>
            <w:r>
              <w:rPr>
                <w:rFonts w:hint="default" w:ascii="Times New Roman" w:hAnsi="Times New Roman" w:eastAsia="黑体" w:cs="Times New Roman"/>
                <w:color w:val="auto"/>
                <w:sz w:val="24"/>
                <w:lang w:val="en-US" w:eastAsia="zh-CN"/>
              </w:rPr>
              <w:t xml:space="preserve"> </w:t>
            </w:r>
            <w:r>
              <w:rPr>
                <w:rFonts w:hint="default" w:ascii="Times New Roman" w:hAnsi="Times New Roman" w:eastAsia="黑体" w:cs="Times New Roman"/>
                <w:color w:val="auto"/>
                <w:sz w:val="24"/>
              </w:rPr>
              <w:t>地下水、土壤</w:t>
            </w:r>
          </w:p>
          <w:p>
            <w:pPr>
              <w:ind w:firstLine="512"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（1）污染物和污染途径</w:t>
            </w:r>
          </w:p>
          <w:p>
            <w:pPr>
              <w:ind w:firstLine="512"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对周边地下水、土壤环境的影响主要是泄漏的汽油、柴油对下游方向地下水、土壤的影响。其主要污染途径有：地下油罐破裂可能会造成油类下渗污染地下水、土壤；在雨季，污染物随雨水漫流至厂区，沿未经防渗处理，渗至地下水、土壤，并通过含水层之间的垂向越流及水平流动扩散。</w:t>
            </w:r>
          </w:p>
          <w:p>
            <w:pPr>
              <w:ind w:firstLine="512"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（2）污染防控措施</w:t>
            </w:r>
          </w:p>
          <w:p>
            <w:pPr>
              <w:ind w:firstLine="512"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拟采用内钢外玻璃纤维增强塑料双层储罐，与土壤接触的油罐外表面防腐设计按《石油化工设备和管道涂料防腐蚀技术规范》（SH3022）的有关规定，并采用不低于加强级的防腐绝缘保护层。项目油罐为双层结构，双层油罐的结构图见下图。</w:t>
            </w:r>
          </w:p>
          <w:p>
            <w:pPr>
              <w:rPr>
                <w:rFonts w:hint="default" w:ascii="Times New Roman" w:hAnsi="Times New Roman" w:cs="Times New Roman"/>
                <w:color w:val="auto"/>
              </w:rPr>
            </w:pPr>
          </w:p>
          <w:p>
            <w:pPr>
              <w:ind w:firstLine="432" w:firstLineChars="200"/>
              <w:jc w:val="center"/>
              <w:rPr>
                <w:rFonts w:hint="default" w:ascii="Times New Roman" w:hAnsi="Times New Roman" w:eastAsia="宋体" w:cs="Times New Roman"/>
                <w:color w:val="auto"/>
                <w:sz w:val="24"/>
              </w:rPr>
            </w:pPr>
            <w:r>
              <w:rPr>
                <w:rFonts w:hint="default" w:ascii="Times New Roman" w:hAnsi="Times New Roman" w:cs="Times New Roman"/>
                <w:color w:val="auto"/>
                <w:sz w:val="20"/>
              </w:rPr>
              <w:drawing>
                <wp:inline distT="0" distB="0" distL="0" distR="0">
                  <wp:extent cx="4177030" cy="2452370"/>
                  <wp:effectExtent l="0" t="0" r="13970" b="5080"/>
                  <wp:docPr id="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a:picLocks noChangeAspect="1"/>
                          </pic:cNvPicPr>
                        </pic:nvPicPr>
                        <pic:blipFill>
                          <a:blip r:embed="rId17" cstate="print"/>
                          <a:stretch>
                            <a:fillRect/>
                          </a:stretch>
                        </pic:blipFill>
                        <pic:spPr>
                          <a:xfrm>
                            <a:off x="0" y="0"/>
                            <a:ext cx="4177409" cy="2452878"/>
                          </a:xfrm>
                          <a:prstGeom prst="rect">
                            <a:avLst/>
                          </a:prstGeom>
                        </pic:spPr>
                      </pic:pic>
                    </a:graphicData>
                  </a:graphic>
                </wp:inline>
              </w:drawing>
            </w:r>
          </w:p>
          <w:p>
            <w:pPr>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lang w:val="en-US" w:eastAsia="zh-CN"/>
              </w:rPr>
              <w:t xml:space="preserve">图4-2  </w:t>
            </w:r>
            <w:r>
              <w:rPr>
                <w:rFonts w:hint="default" w:ascii="Times New Roman" w:hAnsi="Times New Roman" w:eastAsia="黑体" w:cs="Times New Roman"/>
                <w:color w:val="auto"/>
                <w:sz w:val="24"/>
              </w:rPr>
              <w:t>双层油罐结构图</w:t>
            </w:r>
          </w:p>
          <w:p>
            <w:pPr>
              <w:keepNext w:val="0"/>
              <w:keepLines w:val="0"/>
              <w:pageBreakBefore w:val="0"/>
              <w:kinsoku/>
              <w:wordWrap/>
              <w:overflowPunct/>
              <w:topLinePunct w:val="0"/>
              <w:autoSpaceDE/>
              <w:autoSpaceDN/>
              <w:bidi w:val="0"/>
              <w:adjustRightInd/>
              <w:snapToGrid/>
              <w:spacing w:line="240" w:lineRule="auto"/>
              <w:ind w:left="0" w:right="0" w:firstLine="512"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油罐内层：采用6mm厚的特种钢板制造，与普通的厚度仅5mm的单层油罐相比，强度大大提高；外层：强化玻璃纤维层，厚度达到2.5mm以上，具有很强的耐腐蚀性、耐电蚀性。在内部钢壳与外部强化玻璃纤维层之间采用专利加工方法，使内外层之间产生0.1mm的空隙，并形成真空层，在人孔附近设置检测立管，并设置油气浓度报警器。即使内壳发生泄漏，也能保证油品仅在空隙间流动，不会马上溢出外界污染土壤。</w:t>
            </w:r>
          </w:p>
          <w:p>
            <w:pPr>
              <w:keepNext w:val="0"/>
              <w:keepLines w:val="0"/>
              <w:pageBreakBefore w:val="0"/>
              <w:kinsoku/>
              <w:wordWrap/>
              <w:overflowPunct/>
              <w:topLinePunct w:val="0"/>
              <w:autoSpaceDE/>
              <w:autoSpaceDN/>
              <w:bidi w:val="0"/>
              <w:adjustRightInd/>
              <w:snapToGrid/>
              <w:spacing w:line="240" w:lineRule="auto"/>
              <w:ind w:left="0" w:right="0" w:firstLine="512"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油路管线均采用双层管路，外层进行加强级防腐处理，并设立防泄漏检测立管和油气浓度报警器。</w:t>
            </w:r>
          </w:p>
          <w:p>
            <w:pPr>
              <w:keepNext w:val="0"/>
              <w:keepLines w:val="0"/>
              <w:pageBreakBefore w:val="0"/>
              <w:kinsoku/>
              <w:wordWrap/>
              <w:overflowPunct/>
              <w:topLinePunct w:val="0"/>
              <w:autoSpaceDE/>
              <w:autoSpaceDN/>
              <w:bidi w:val="0"/>
              <w:adjustRightInd/>
              <w:snapToGrid/>
              <w:spacing w:line="240" w:lineRule="auto"/>
              <w:ind w:left="0" w:right="0" w:firstLine="512"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由于同时项目采取防渗漏检查孔等渗漏溢出检测设施，可及时发现储油罐渗漏，即使发生泄漏，也在储罐和管线夹层中，不会对地下水、土壤造成污染现象，所以本项目对地下水、土壤环境影响较小。</w:t>
            </w:r>
          </w:p>
          <w:p>
            <w:pPr>
              <w:keepNext w:val="0"/>
              <w:keepLines w:val="0"/>
              <w:pageBreakBefore w:val="0"/>
              <w:kinsoku/>
              <w:wordWrap/>
              <w:overflowPunct/>
              <w:topLinePunct w:val="0"/>
              <w:autoSpaceDE/>
              <w:autoSpaceDN/>
              <w:bidi w:val="0"/>
              <w:adjustRightInd/>
              <w:snapToGrid/>
              <w:spacing w:line="240" w:lineRule="auto"/>
              <w:ind w:right="0"/>
              <w:jc w:val="left"/>
              <w:textAlignment w:val="auto"/>
              <w:rPr>
                <w:rFonts w:hint="eastAsia" w:eastAsia="黑体" w:cs="Times New Roman"/>
                <w:color w:val="auto"/>
                <w:sz w:val="24"/>
                <w:lang w:val="en-US" w:eastAsia="zh-CN"/>
              </w:rPr>
            </w:pPr>
            <w:r>
              <w:rPr>
                <w:rFonts w:hint="eastAsia" w:eastAsia="黑体" w:cs="Times New Roman"/>
                <w:color w:val="auto"/>
                <w:sz w:val="24"/>
                <w:lang w:val="en-US" w:eastAsia="zh-CN"/>
              </w:rPr>
              <w:t>（3）地下水监控</w:t>
            </w:r>
          </w:p>
          <w:p>
            <w:pPr>
              <w:keepNext w:val="0"/>
              <w:keepLines w:val="0"/>
              <w:pageBreakBefore w:val="0"/>
              <w:kinsoku/>
              <w:wordWrap/>
              <w:overflowPunct/>
              <w:topLinePunct w:val="0"/>
              <w:autoSpaceDE/>
              <w:autoSpaceDN/>
              <w:bidi w:val="0"/>
              <w:adjustRightInd/>
              <w:snapToGrid/>
              <w:spacing w:line="240" w:lineRule="auto"/>
              <w:ind w:left="0" w:right="0" w:firstLine="512"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按照《加油站地下水污染防治技术指南》要求，在项目储罐区地下水下游设置监测井作为跟踪监测点进行长期动态监测，监测计划见下表。</w:t>
            </w:r>
          </w:p>
          <w:p>
            <w:pPr>
              <w:pStyle w:val="68"/>
              <w:widowControl w:val="0"/>
              <w:spacing w:line="240" w:lineRule="auto"/>
              <w:ind w:left="0" w:leftChars="0" w:firstLine="0" w:firstLineChars="0"/>
              <w:jc w:val="center"/>
              <w:rPr>
                <w:rFonts w:hint="default"/>
                <w:color w:val="auto"/>
                <w:lang w:val="en-US" w:eastAsia="zh-CN"/>
              </w:rPr>
            </w:pPr>
            <w:r>
              <w:rPr>
                <w:rFonts w:hint="default" w:ascii="Times New Roman" w:hAnsi="Times New Roman" w:eastAsia="黑体" w:cs="Times New Roman"/>
                <w:color w:val="auto"/>
                <w:sz w:val="24"/>
                <w:szCs w:val="24"/>
                <w:lang w:val="en-US" w:eastAsia="zh-CN"/>
              </w:rPr>
              <w:t>表4-6  地下水监测计划一览表</w:t>
            </w:r>
          </w:p>
          <w:tbl>
            <w:tblPr>
              <w:tblStyle w:val="27"/>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81"/>
              <w:gridCol w:w="4411"/>
              <w:gridCol w:w="22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14" w:type="pct"/>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w:t>
                  </w:r>
                </w:p>
              </w:tc>
              <w:tc>
                <w:tcPr>
                  <w:tcW w:w="3685" w:type="pct"/>
                  <w:gridSpan w:val="2"/>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储罐区下游监测井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14" w:type="pct"/>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与本项目位置关系</w:t>
                  </w:r>
                </w:p>
              </w:tc>
              <w:tc>
                <w:tcPr>
                  <w:tcW w:w="3685" w:type="pct"/>
                  <w:gridSpan w:val="2"/>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本项目储罐区地下水下游（尽量设置在加油站内）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14" w:type="pct"/>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功能</w:t>
                  </w:r>
                </w:p>
              </w:tc>
              <w:tc>
                <w:tcPr>
                  <w:tcW w:w="3685"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地下水环境影响跟踪监测点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1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地下水监测频率</w:t>
                  </w:r>
                </w:p>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3685" w:type="pct"/>
                  <w:gridSpan w:val="2"/>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定性监测。可通过肉眼观察、使用测油膏、便携式气体监测仪等其他快速方法判定地下水监测井中是否存在油品污染，定性监测每周一次。（2）定量监测。若定性监测发现地下水存在油品污染，立即启动定量监测；若定性监测未发现问题，则每季度监测1次，具体监测指标见“本表地下水监测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14"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地下水监测指标</w:t>
                  </w:r>
                </w:p>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243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萘</w:t>
                  </w:r>
                </w:p>
              </w:tc>
              <w:tc>
                <w:tcPr>
                  <w:tcW w:w="125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指标数量：1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14"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p>
              </w:tc>
              <w:tc>
                <w:tcPr>
                  <w:tcW w:w="243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苯、甲苯、乙苯、邻二甲苯、间（对）二甲苯</w:t>
                  </w:r>
                </w:p>
              </w:tc>
              <w:tc>
                <w:tcPr>
                  <w:tcW w:w="125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指标数量：5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14"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243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甲基叔丁基醚</w:t>
                  </w:r>
                </w:p>
              </w:tc>
              <w:tc>
                <w:tcPr>
                  <w:tcW w:w="125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指标数量：1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14"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243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pH、石油类</w:t>
                  </w:r>
                </w:p>
              </w:tc>
              <w:tc>
                <w:tcPr>
                  <w:tcW w:w="1251" w:type="pct"/>
                  <w:tcBorders>
                    <w:tl2br w:val="nil"/>
                    <w:tr2bl w:val="nil"/>
                  </w:tcBorders>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bl>
          <w:p>
            <w:pPr>
              <w:keepNext w:val="0"/>
              <w:keepLines w:val="0"/>
              <w:pageBreakBefore w:val="0"/>
              <w:kinsoku/>
              <w:wordWrap/>
              <w:overflowPunct/>
              <w:topLinePunct w:val="0"/>
              <w:autoSpaceDE/>
              <w:autoSpaceDN/>
              <w:bidi w:val="0"/>
              <w:adjustRightInd/>
              <w:snapToGrid/>
              <w:spacing w:line="240" w:lineRule="auto"/>
              <w:ind w:right="0"/>
              <w:jc w:val="left"/>
              <w:textAlignment w:val="auto"/>
              <w:rPr>
                <w:rFonts w:hint="default" w:ascii="Times New Roman" w:hAnsi="Times New Roman" w:eastAsia="黑体" w:cs="Times New Roman"/>
                <w:color w:val="auto"/>
                <w:sz w:val="24"/>
                <w:lang w:val="en-US" w:eastAsia="zh-CN"/>
              </w:rPr>
            </w:pPr>
            <w:r>
              <w:rPr>
                <w:rFonts w:hint="default" w:ascii="Times New Roman" w:hAnsi="Times New Roman" w:eastAsia="黑体" w:cs="Times New Roman"/>
                <w:color w:val="auto"/>
                <w:sz w:val="24"/>
                <w:lang w:val="en-US" w:eastAsia="zh-CN"/>
              </w:rPr>
              <w:t>6生态</w:t>
            </w:r>
          </w:p>
          <w:p>
            <w:pPr>
              <w:keepNext w:val="0"/>
              <w:keepLines w:val="0"/>
              <w:pageBreakBefore w:val="0"/>
              <w:kinsoku/>
              <w:wordWrap/>
              <w:overflowPunct/>
              <w:topLinePunct w:val="0"/>
              <w:autoSpaceDE/>
              <w:autoSpaceDN/>
              <w:bidi w:val="0"/>
              <w:adjustRightInd/>
              <w:snapToGrid/>
              <w:spacing w:line="240" w:lineRule="auto"/>
              <w:ind w:left="0" w:right="0" w:firstLine="512"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本项目位于中卫市中宁县新堡镇，不在各类自然保护区、风景名胜区、集中式饮用水水源保护区范围内</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项目用地范围内无生态环境保护目标。</w:t>
            </w:r>
          </w:p>
          <w:p>
            <w:pPr>
              <w:jc w:val="left"/>
              <w:rPr>
                <w:rFonts w:hint="default" w:ascii="Times New Roman" w:hAnsi="Times New Roman" w:eastAsia="黑体" w:cs="Times New Roman"/>
                <w:color w:val="auto"/>
                <w:sz w:val="24"/>
              </w:rPr>
            </w:pPr>
            <w:r>
              <w:rPr>
                <w:rFonts w:hint="default" w:ascii="Times New Roman" w:hAnsi="Times New Roman" w:eastAsia="黑体" w:cs="Times New Roman"/>
                <w:color w:val="auto"/>
                <w:sz w:val="24"/>
                <w:lang w:val="en-US" w:eastAsia="zh-CN"/>
              </w:rPr>
              <w:t>7</w:t>
            </w:r>
            <w:r>
              <w:rPr>
                <w:rFonts w:hint="default" w:ascii="Times New Roman" w:hAnsi="Times New Roman" w:eastAsia="黑体" w:cs="Times New Roman"/>
                <w:color w:val="auto"/>
                <w:sz w:val="24"/>
              </w:rPr>
              <w:t>环境风险</w:t>
            </w:r>
          </w:p>
          <w:p>
            <w:pPr>
              <w:ind w:firstLine="512"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涉及到的风险物质主要为汽油、柴油。依据《建设项目环境影响报告表编制技术指南（污染影响类）（试行）》：“有毒有害和易燃易爆危险物质存储量超过临界量的建设项目”需设置环境风险专项评价章节，本项目风险物质</w:t>
            </w:r>
            <w:r>
              <w:rPr>
                <w:rFonts w:hint="default" w:ascii="Times New Roman" w:hAnsi="Times New Roman" w:eastAsia="宋体" w:cs="Times New Roman"/>
                <w:color w:val="auto"/>
                <w:sz w:val="24"/>
                <w:lang w:val="en-US" w:eastAsia="zh-CN"/>
              </w:rPr>
              <w:t>汽油、柴油</w:t>
            </w:r>
            <w:r>
              <w:rPr>
                <w:rFonts w:hint="default" w:ascii="Times New Roman" w:hAnsi="Times New Roman" w:eastAsia="宋体" w:cs="Times New Roman"/>
                <w:color w:val="auto"/>
                <w:sz w:val="24"/>
              </w:rPr>
              <w:t>存储量未超过临界量，不需设置环境风险专项评价章节，只需依据《建设项目环境影响报告表编制技术指南（污染影响类）（试行）》进行简单分析。</w:t>
            </w:r>
          </w:p>
          <w:p>
            <w:pPr>
              <w:keepNext w:val="0"/>
              <w:keepLines w:val="0"/>
              <w:widowControl/>
              <w:suppressLineNumbers w:val="0"/>
              <w:jc w:val="left"/>
              <w:rPr>
                <w:rFonts w:hint="default" w:ascii="Times New Roman" w:hAnsi="Times New Roman" w:eastAsia="黑体" w:cs="Times New Roman"/>
                <w:color w:val="auto"/>
                <w:sz w:val="24"/>
                <w:lang w:val="en-US" w:eastAsia="zh-CN"/>
              </w:rPr>
            </w:pPr>
            <w:r>
              <w:rPr>
                <w:rFonts w:hint="default" w:ascii="Times New Roman" w:hAnsi="Times New Roman" w:eastAsia="黑体" w:cs="Times New Roman"/>
                <w:color w:val="auto"/>
                <w:sz w:val="24"/>
                <w:lang w:val="en-US" w:eastAsia="zh-CN"/>
              </w:rPr>
              <w:t>7.1汽油、柴油理化性质</w:t>
            </w:r>
          </w:p>
          <w:p>
            <w:pPr>
              <w:keepNext w:val="0"/>
              <w:keepLines w:val="0"/>
              <w:widowControl/>
              <w:suppressLineNumbers w:val="0"/>
              <w:ind w:firstLine="512" w:firstLineChars="20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szCs w:val="24"/>
                <w:highlight w:val="none"/>
                <w:lang w:val="en-US" w:eastAsia="zh-CN"/>
              </w:rPr>
              <w:t>本项目危险物质为</w:t>
            </w:r>
            <w:r>
              <w:rPr>
                <w:rFonts w:hint="default" w:ascii="Times New Roman" w:hAnsi="Times New Roman" w:eastAsia="宋体" w:cs="Times New Roman"/>
                <w:color w:val="auto"/>
                <w:sz w:val="24"/>
                <w:lang w:val="en-US" w:eastAsia="zh-CN"/>
              </w:rPr>
              <w:t>汽油、柴油</w:t>
            </w:r>
            <w:r>
              <w:rPr>
                <w:rFonts w:hint="default" w:ascii="Times New Roman" w:hAnsi="Times New Roman" w:eastAsia="宋体" w:cs="Times New Roman"/>
                <w:color w:val="auto"/>
                <w:sz w:val="24"/>
                <w:szCs w:val="24"/>
                <w:highlight w:val="none"/>
                <w:lang w:val="en-US" w:eastAsia="zh-CN"/>
              </w:rPr>
              <w:t>，其理化性质具体详见“二、建设项目工程分析”中“原辅材料及能源消耗”章节内容。</w:t>
            </w:r>
          </w:p>
          <w:p>
            <w:pPr>
              <w:keepNext w:val="0"/>
              <w:keepLines w:val="0"/>
              <w:widowControl/>
              <w:suppressLineNumbers w:val="0"/>
              <w:jc w:val="left"/>
              <w:rPr>
                <w:rFonts w:hint="default" w:ascii="Times New Roman" w:hAnsi="Times New Roman" w:eastAsia="黑体" w:cs="Times New Roman"/>
                <w:color w:val="auto"/>
                <w:kern w:val="0"/>
                <w:sz w:val="24"/>
                <w:szCs w:val="24"/>
                <w:lang w:val="en-US" w:eastAsia="zh-CN" w:bidi="ar"/>
              </w:rPr>
            </w:pPr>
            <w:r>
              <w:rPr>
                <w:rFonts w:hint="default" w:ascii="Times New Roman" w:hAnsi="Times New Roman" w:eastAsia="黑体" w:cs="Times New Roman"/>
                <w:color w:val="auto"/>
                <w:kern w:val="0"/>
                <w:sz w:val="24"/>
                <w:szCs w:val="24"/>
                <w:lang w:val="en-US" w:eastAsia="zh-CN" w:bidi="ar"/>
              </w:rPr>
              <w:t>7.2风险源分布</w:t>
            </w:r>
          </w:p>
          <w:p>
            <w:pPr>
              <w:keepNext w:val="0"/>
              <w:keepLines w:val="0"/>
              <w:widowControl/>
              <w:suppressLineNumbers w:val="0"/>
              <w:ind w:firstLine="512" w:firstLineChars="200"/>
              <w:jc w:val="left"/>
              <w:rPr>
                <w:rFonts w:hint="default" w:ascii="Times New Roman" w:hAnsi="Times New Roman" w:eastAsia="黑体" w:cs="Times New Roman"/>
                <w:color w:val="auto"/>
                <w:kern w:val="0"/>
                <w:sz w:val="24"/>
                <w:szCs w:val="24"/>
                <w:lang w:val="en-US" w:eastAsia="zh-CN" w:bidi="ar"/>
              </w:rPr>
            </w:pPr>
            <w:r>
              <w:rPr>
                <w:rFonts w:hint="default" w:ascii="Times New Roman" w:hAnsi="Times New Roman" w:eastAsia="宋体" w:cs="Times New Roman"/>
                <w:color w:val="auto"/>
                <w:sz w:val="24"/>
                <w:szCs w:val="24"/>
                <w:highlight w:val="none"/>
                <w:lang w:val="en-US" w:eastAsia="zh-CN"/>
              </w:rPr>
              <w:t>本项目设置2个柴油储罐、2个汽油储罐，以上储罐区为本项目主要风险源。</w:t>
            </w:r>
          </w:p>
          <w:p>
            <w:pPr>
              <w:keepNext w:val="0"/>
              <w:keepLines w:val="0"/>
              <w:widowControl/>
              <w:suppressLineNumbers w:val="0"/>
              <w:jc w:val="left"/>
              <w:rPr>
                <w:rFonts w:hint="default" w:ascii="Times New Roman" w:hAnsi="Times New Roman" w:eastAsia="黑体" w:cs="Times New Roman"/>
                <w:color w:val="auto"/>
                <w:sz w:val="24"/>
                <w:lang w:val="en-US"/>
              </w:rPr>
            </w:pPr>
            <w:r>
              <w:rPr>
                <w:rFonts w:hint="default" w:ascii="Times New Roman" w:hAnsi="Times New Roman" w:eastAsia="黑体" w:cs="Times New Roman"/>
                <w:color w:val="auto"/>
                <w:kern w:val="0"/>
                <w:sz w:val="24"/>
                <w:szCs w:val="24"/>
                <w:lang w:val="en-US" w:eastAsia="zh-CN" w:bidi="ar"/>
              </w:rPr>
              <w:t>7.3影响途径</w:t>
            </w:r>
          </w:p>
          <w:p>
            <w:pPr>
              <w:keepNext w:val="0"/>
              <w:keepLines w:val="0"/>
              <w:pageBreakBefore w:val="0"/>
              <w:widowControl w:val="0"/>
              <w:kinsoku/>
              <w:wordWrap/>
              <w:overflowPunct/>
              <w:topLinePunct w:val="0"/>
              <w:autoSpaceDE/>
              <w:autoSpaceDN/>
              <w:bidi w:val="0"/>
              <w:adjustRightInd/>
              <w:snapToGrid/>
              <w:ind w:firstLine="512" w:firstLineChars="200"/>
              <w:jc w:val="left"/>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风险物质影响途径如下：</w:t>
            </w:r>
          </w:p>
          <w:p>
            <w:pPr>
              <w:keepNext w:val="0"/>
              <w:keepLines w:val="0"/>
              <w:pageBreakBefore w:val="0"/>
              <w:widowControl w:val="0"/>
              <w:kinsoku/>
              <w:wordWrap/>
              <w:overflowPunct/>
              <w:topLinePunct w:val="0"/>
              <w:autoSpaceDE/>
              <w:autoSpaceDN/>
              <w:bidi w:val="0"/>
              <w:adjustRightInd/>
              <w:snapToGrid/>
              <w:ind w:firstLine="512" w:firstLineChars="200"/>
              <w:jc w:val="left"/>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（1）储罐区：储罐是加油站最容易发生事故的场所，如油罐泄漏遇雷击或静电闪火引燃引起爆炸。</w:t>
            </w:r>
          </w:p>
          <w:p>
            <w:pPr>
              <w:keepNext w:val="0"/>
              <w:keepLines w:val="0"/>
              <w:pageBreakBefore w:val="0"/>
              <w:widowControl w:val="0"/>
              <w:kinsoku/>
              <w:wordWrap/>
              <w:overflowPunct/>
              <w:topLinePunct w:val="0"/>
              <w:autoSpaceDE/>
              <w:autoSpaceDN/>
              <w:bidi w:val="0"/>
              <w:adjustRightInd/>
              <w:snapToGrid/>
              <w:ind w:firstLine="512"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（2）加油棚：加油棚为各种机动车辆加油的场所。由于汽车尾气带火星、加油过满溢出、加油机漏油、加油机防爆电气故障等原因，易引发火灾爆炸事故。</w:t>
            </w:r>
            <w:r>
              <w:rPr>
                <w:rFonts w:hint="default" w:ascii="Times New Roman" w:hAnsi="Times New Roman" w:eastAsia="宋体" w:cs="Times New Roman"/>
                <w:color w:val="auto"/>
                <w:sz w:val="24"/>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512"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卸油作业点：加油车不熄火，送油车静电没有消散，油罐车卸油连通软管导静电性能差；雷雨天往油罐卸油或往汽车车箱加油速度过快，加油操作失误；密闭卸油接口处漏油；对明火源管理不严等，都有可能会导致火灾、爆炸或设备损坏或人身伤亡事故。</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黑体" w:cs="Times New Roman"/>
                <w:color w:val="auto"/>
                <w:sz w:val="24"/>
                <w:szCs w:val="24"/>
                <w:lang w:eastAsia="zh-CN"/>
              </w:rPr>
            </w:pPr>
            <w:r>
              <w:rPr>
                <w:rFonts w:hint="default" w:ascii="Times New Roman" w:hAnsi="Times New Roman" w:eastAsia="黑体" w:cs="Times New Roman"/>
                <w:color w:val="auto"/>
                <w:sz w:val="24"/>
                <w:szCs w:val="24"/>
                <w:lang w:val="en-US" w:eastAsia="zh-CN"/>
              </w:rPr>
              <w:t>7.4</w:t>
            </w:r>
            <w:r>
              <w:rPr>
                <w:rFonts w:hint="default" w:ascii="Times New Roman" w:hAnsi="Times New Roman" w:eastAsia="黑体" w:cs="Times New Roman"/>
                <w:color w:val="auto"/>
                <w:sz w:val="24"/>
                <w:szCs w:val="24"/>
              </w:rPr>
              <w:t>风险防范措施</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加油站属甲级防火单位，汽油的燃烧或爆炸引起的后果严重，不但造成人员伤亡和财产损失，也将给大气、地表水及土壤环境造成严重污染，建设单位应把防爆防火工作放在首位，按消防法规定落实各项防火措施和制度。本项目为防止事故的发生，严格按照《汽车加油加气加氢站技术标准》（GB50516-2021）进行了设计与施工，项目拟采取的风险防范措施如下：</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（1）总图布置及工艺设备</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1）总图布置严格按照了《汽车加油加气加氢站技术标准》（GB50516-2021）的要求进行设计，严格控制了各建、构筑物的安全防护距离；</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2）按有关规范设计设置了有效的消防系统，做到以防为主，安全可靠；项目区配备了灭火器18具、消防沙2m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、灭火毯8条，且灭火器均置于站区明显处，确保能够随时启用；</w:t>
            </w:r>
          </w:p>
          <w:p>
            <w:pPr>
              <w:pStyle w:val="68"/>
              <w:widowControl w:val="0"/>
              <w:spacing w:line="240" w:lineRule="auto"/>
              <w:ind w:firstLine="512" w:firstLineChars="200"/>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rPr>
              <w:t>3）工艺设备、运输设施及工艺系统选用了高质、高效可靠性的产品。加油站防爆区电气设备、器材的选型、设计安装及维护均符合《爆炸火灾危电力装置设计规范》(GB50058.82)和《漏电保护器安装与运行》（GB13955-92）的规定；</w:t>
            </w:r>
            <w:r>
              <w:rPr>
                <w:rFonts w:hint="default" w:ascii="Times New Roman" w:hAnsi="Times New Roman" w:cs="Times New Roman"/>
                <w:color w:val="auto"/>
                <w:sz w:val="24"/>
                <w:szCs w:val="24"/>
                <w:lang w:val="en-US" w:eastAsia="zh-CN"/>
              </w:rPr>
              <w:t xml:space="preserve">  </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4）在可能发生成品油挥发及泄漏积聚的场所，设置了可燃气体报警装置；</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5）在管沟敷设油品管道的始端、末端和分支处，设置了防静电和防感应雷的联合接地装置；</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6）该项目的土建结构设计单位在进行结构设计时，采取了较大的抗震结构保险系数，增加了加油站的抗震能力；</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7）油罐安装高低液位报警器，减少管线接口，油罐的进出口管道采用金属软管连接等；汽油罐与柴油罐的通气管进行了分开规范设置，通气管管口安装了阻火器；</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8）加强职工的安全教育，提高安全防范风险的意识；</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9）针对营运中可能发生的异常现象和存在的安全隐患，设置合理可行的技术措施，制定严格的操作规程；加油站设置了1名安全管理员，对站区进行时常巡检，重点在油罐区和加油区、输油管线，发现泄漏问题，及时采取应对措施，杜绝油品大量泄漏的情况；</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10）本站依据《汽车加油加气加氢站技术标准》（GB50516-2021），埋地油罐采用钢制双层油罐，油罐放置于承重的防渗罐池内，罐池采用防渗钢筋混凝土整体浇筑，池内空间采用中性沙回填，如有泄漏事故发生，油品将在罐池中储存，不会外流造成危险；不会进入附近地表水体。卸油车一旦发生渗漏与溢出事故时，油品将被在油罐区控制，溢出油罐区外可能性很小，因此不会对地表水造成影响。</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11）油罐、输油管线填埋区为地下防渗区，即建成的厚度不小于200mm厚的水泥防渗体，将油罐、输油管线放入水泥防渗体内，防止油罐、输油管线油品外漏后直接下渗，确保储油罐和输油管线防渗区在一般自然灾害下不发生渗漏，保护区域土壤和地下水环境；</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12）站区内设置了醒目的禁烟禁火标识，要求机动车辆进入站区加油要确保熄火作业，严禁在站内接打电话；</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13）油罐人孔井处预留接地点，人孔井与油罐之间的间隙、管道进出人孔井的间隙用沥青麻刀塞紧，再用防水水泥砂浆密封。</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（2）健全管理制度各类事故的发生大多数与操作管理不当有直接关系，因此必须建立健全一整套严格的管理制度。建议企业应采取如下的防范措施：</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1）加强职工的安全教育，提高环境防范风险的意识；</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2）针对营运中可能发生的异常现象和存在的安全隐患，设置合理可行的技术措施，制定严格的操作规程；</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3）对易发生泄漏的部位实行定期的巡检制度，及时发现问趣，尽快解决；</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4）严格执行防火、防爆、防雷击、防毒害等各项要求；</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5）建立健全安全、环境管理体系及高效的安全生产机构，一旦发生事故，要做到快速、高效、安全处置；</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6）加油站内的电气设备严格按照防爆区划分配置；</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7）在储存油罐和加油站入口处设立警告牌（严禁烟火）；</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8）在加油站设立严禁打手机的警告牌；</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9）按照设计图的要求，注意避雷针的安全防护措施；</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加强装卸油作业管理在装卸油作业过程中，要严格按照作业程序进行操作，严格检查汽车油罐车，防止因装油设备不符合规范、设备失修、冒油泄漏、静电放电和人的违章操作造成的汽车油罐车火灾。在作业过程中，应按照规定进行静电接地，控制加油枪的流速，严格操作规程和注意随时可能出现的隐患，掌握正确处理各种突发事件的应急办法和抢救措施。</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（4）控制油气产生和聚集有效防止油气的产生和聚集油品起火爆炸存在浓度合适的油气混合气是其基本条件之一。控制油气的产生和聚集，应该从以下四方面入手。</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在平时应该将设备设施维护保养好，做到不渗不漏，检修设备时不要将油品洒到地面，并及时把设备内放出的油品妥善处理，缩短油品在危险场所内的存放时间；</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为了防止油品蒸发降低油气浓度，在装卸油过程中应采用先进完善的油气回收系统，尽量减少不必要的油气排放，从而减小油蒸气的存在范围；</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应该采取科学布局，根据加油站各场所的特点采取通风、惰化等多种方式减少油气积聚，控制油气浓度，使之达不到油气燃烧爆炸的浓度；</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加强油气浓度的检测，在爆炸危险场所内进行明火或其它危险作业前，进行严格的油气浓度检测，确认油气浓度在作业方式所允许的范围内，方可进入或进行作业。</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（5）加油站跑、冒油事故预防措施</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工作人员应定期通过液位观测装置定期检查，并安装高液位报警器，发生泄漏能够及时发现并处理。</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加油作业时要巡查管线，出现漏油情况及时处理，作业人员在值班期间，绝不允许擅离职守，并不得从事与本职工作无关的其他事情。</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装油容量应严格控制在安全高度之内，装油过满会使油料在容器内因温度升高膨胀而从容器口冒出。</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维修油罐、阀门、管线及其附件时，修理人员要与有关人员密切联系。离开现场或暂时停止修理时，应将拆开的管道用堵头堵住，并将修理情况向有关人员交待清楚。修理结束应经技术人员或值班员检查无误后，方可使用。</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油罐输油前后，都应对油罐安全设施进行检查，尤其是进出油管线上的阀门，油罐呼吸阀、计量口等，发现问题，应及时报告有关部门解决。</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卸油时发生冒罐应及时关闭油罐车卸油阀和停止加油作业，切断总电源；跑冒油较少时，应用非化纤棉纱、毛巾或拖布等不产生静电的物品对现场的油品进行回收；跑冒油较多时，应用砂土等对跑冒油现场进行围挡，用加油站备用的专用回收工具进行必要的回收，禁止用铁制等易产生火花的器皿进行回收，回收的油品另行处理。回收后，要用沙土覆盖残留油面，待充分吸取残油后将沙土清除干净。</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定期委托相关资质单位对罐区附近地下水进行检测，通过检测地下水各项标，及时检查有无渗漏情况发生。</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（6）罐体漂移的防范措施</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罐体采用固定锚进行固定，回填过程使用的回填材料间不得存在缝隙，防止罐体发生移动；</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发生罐体漂移时，应立即停止加油，关闭阀门，采取紧急固定措施，并检查油罐及输油管道是否泄漏；</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加强加油站雨季安全防范措施在雨季来临的时候要及时检查加油站所有设备和线路，包括加油机、配电柜、照明线路等，要确保这些设施的建筑不渗漏，防止线路短路，加油机要做好遮雨避雨措施，防止被雨淋湿；对非地埋线路必须要套阻燃管；所有灯具开关必须选用防爆或防护型装备。在雷电较大或者雷电频繁时，加油站要断电禁止发油。除了以上措施外，加油站平时要作好3个方面的工作：</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一是建站时做好地埋接地防护网，每个油罐、卸油口、加油站罩棚、配电柜、加油机、电脑传输网线等都要进行静电接地，而且静电接地要进行并联；高层建筑和罩棚要安装避雷针。</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二是每年雨季来临之前要作好静电的测试和防雷的测试，一年不少于2次；所有4个螺丝以内的管线法兰盘必须进行跨接，静电测试结果必须符合国家标准，达不到的要及时进行整改。</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三是在雷电时尽量不要卸油，每次卸油时罐车必须做好卸油静电接地，卸油静电接地桩和卸油口要保持1.5m的安全间距，卸油前要做好静电接地电子器的检查，看是否报警并预备好石棉被、灭火器等以防止意外。</w:t>
            </w:r>
          </w:p>
          <w:p>
            <w:pPr>
              <w:pStyle w:val="68"/>
              <w:widowControl w:val="0"/>
              <w:spacing w:line="240" w:lineRule="auto"/>
              <w:ind w:firstLine="51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项目风险防范范围主要包括站区内储罐区、加油区等，防范措施汇总情况详见下表。</w:t>
            </w:r>
          </w:p>
          <w:p>
            <w:pPr>
              <w:pStyle w:val="68"/>
              <w:widowControl w:val="0"/>
              <w:spacing w:line="240" w:lineRule="auto"/>
              <w:ind w:left="0" w:leftChars="0" w:firstLine="0" w:firstLineChars="0"/>
              <w:jc w:val="center"/>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表4-6  项目风险防范措施一览表</w:t>
            </w:r>
          </w:p>
          <w:tbl>
            <w:tblPr>
              <w:tblStyle w:val="26"/>
              <w:tblW w:w="0" w:type="auto"/>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05"/>
              <w:gridCol w:w="1471"/>
              <w:gridCol w:w="707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279" w:type="pct"/>
                  <w:tcBorders>
                    <w:tl2br w:val="nil"/>
                    <w:tr2bl w:val="nil"/>
                  </w:tcBorders>
                  <w:vAlign w:val="center"/>
                </w:tcPr>
                <w:p>
                  <w:pPr>
                    <w:pStyle w:val="77"/>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812" w:type="pct"/>
                  <w:tcBorders>
                    <w:tl2br w:val="nil"/>
                    <w:tr2bl w:val="nil"/>
                  </w:tcBorders>
                  <w:vAlign w:val="center"/>
                </w:tcPr>
                <w:p>
                  <w:pPr>
                    <w:pStyle w:val="77"/>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措施名称</w:t>
                  </w:r>
                </w:p>
              </w:tc>
              <w:tc>
                <w:tcPr>
                  <w:tcW w:w="3907" w:type="pct"/>
                  <w:tcBorders>
                    <w:tl2br w:val="nil"/>
                    <w:tr2bl w:val="nil"/>
                  </w:tcBorders>
                  <w:vAlign w:val="center"/>
                </w:tcPr>
                <w:p>
                  <w:pPr>
                    <w:pStyle w:val="77"/>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防范措施内容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279" w:type="pct"/>
                  <w:tcBorders>
                    <w:tl2br w:val="nil"/>
                    <w:tr2bl w:val="nil"/>
                  </w:tcBorders>
                  <w:vAlign w:val="center"/>
                </w:tcPr>
                <w:p>
                  <w:pPr>
                    <w:pStyle w:val="77"/>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9"/>
                      <w:sz w:val="21"/>
                      <w:szCs w:val="21"/>
                    </w:rPr>
                    <w:t>1</w:t>
                  </w:r>
                </w:p>
              </w:tc>
              <w:tc>
                <w:tcPr>
                  <w:tcW w:w="812" w:type="pct"/>
                  <w:tcBorders>
                    <w:tl2br w:val="nil"/>
                    <w:tr2bl w:val="nil"/>
                  </w:tcBorders>
                  <w:vAlign w:val="center"/>
                </w:tcPr>
                <w:p>
                  <w:pPr>
                    <w:pStyle w:val="77"/>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大气环境风险防范措施</w:t>
                  </w:r>
                </w:p>
              </w:tc>
              <w:tc>
                <w:tcPr>
                  <w:tcW w:w="3907" w:type="pct"/>
                  <w:tcBorders>
                    <w:tl2br w:val="nil"/>
                    <w:tr2bl w:val="nil"/>
                  </w:tcBorders>
                  <w:vAlign w:val="center"/>
                </w:tcPr>
                <w:p>
                  <w:pPr>
                    <w:pStyle w:val="77"/>
                    <w:keepNext w:val="0"/>
                    <w:keepLines w:val="0"/>
                    <w:pageBreakBefore w:val="0"/>
                    <w:widowControl/>
                    <w:kinsoku/>
                    <w:wordWrap/>
                    <w:overflowPunct/>
                    <w:topLinePunct w:val="0"/>
                    <w:autoSpaceDE/>
                    <w:autoSpaceDN/>
                    <w:bidi w:val="0"/>
                    <w:adjustRightInd w:val="0"/>
                    <w:snapToGrid w:val="0"/>
                    <w:spacing w:line="240" w:lineRule="auto"/>
                    <w:ind w:left="0" w:right="0" w:firstLine="43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5"/>
                      <w:sz w:val="21"/>
                      <w:szCs w:val="21"/>
                    </w:rPr>
                    <w:t>大气环境风险防范措施：项目非甲烷总烃无组织排放厂界无超标点，在发生泄漏事故时，应及时组织人群转移，以减少对人群的</w:t>
                  </w:r>
                  <w:r>
                    <w:rPr>
                      <w:rFonts w:hint="default" w:ascii="Times New Roman" w:hAnsi="Times New Roman" w:eastAsia="宋体" w:cs="Times New Roman"/>
                      <w:color w:val="auto"/>
                      <w:sz w:val="21"/>
                      <w:szCs w:val="21"/>
                    </w:rPr>
                    <w:t>伤害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279" w:type="pct"/>
                  <w:tcBorders>
                    <w:tl2br w:val="nil"/>
                    <w:tr2bl w:val="nil"/>
                  </w:tcBorders>
                  <w:vAlign w:val="center"/>
                </w:tcPr>
                <w:p>
                  <w:pPr>
                    <w:pStyle w:val="77"/>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9"/>
                      <w:sz w:val="21"/>
                      <w:szCs w:val="21"/>
                    </w:rPr>
                    <w:t>2</w:t>
                  </w:r>
                </w:p>
              </w:tc>
              <w:tc>
                <w:tcPr>
                  <w:tcW w:w="812" w:type="pct"/>
                  <w:tcBorders>
                    <w:tl2br w:val="nil"/>
                    <w:tr2bl w:val="nil"/>
                  </w:tcBorders>
                  <w:vAlign w:val="center"/>
                </w:tcPr>
                <w:p>
                  <w:pPr>
                    <w:pStyle w:val="77"/>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水环境风险防范措施</w:t>
                  </w:r>
                </w:p>
              </w:tc>
              <w:tc>
                <w:tcPr>
                  <w:tcW w:w="3907" w:type="pct"/>
                  <w:tcBorders>
                    <w:tl2br w:val="nil"/>
                    <w:tr2bl w:val="nil"/>
                  </w:tcBorders>
                  <w:vAlign w:val="center"/>
                </w:tcPr>
                <w:p>
                  <w:pPr>
                    <w:pStyle w:val="77"/>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防渗措施：项目采用双层油罐进行防渗，表面采用混凝土硬化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279" w:type="pct"/>
                  <w:tcBorders>
                    <w:tl2br w:val="nil"/>
                    <w:tr2bl w:val="nil"/>
                  </w:tcBorders>
                  <w:vAlign w:val="center"/>
                </w:tcPr>
                <w:p>
                  <w:pPr>
                    <w:pStyle w:val="77"/>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9"/>
                      <w:sz w:val="21"/>
                      <w:szCs w:val="21"/>
                    </w:rPr>
                    <w:t>3</w:t>
                  </w:r>
                </w:p>
              </w:tc>
              <w:tc>
                <w:tcPr>
                  <w:tcW w:w="812" w:type="pct"/>
                  <w:tcBorders>
                    <w:tl2br w:val="nil"/>
                    <w:tr2bl w:val="nil"/>
                  </w:tcBorders>
                  <w:vAlign w:val="center"/>
                </w:tcPr>
                <w:p>
                  <w:pPr>
                    <w:pStyle w:val="77"/>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防火防爆措施</w:t>
                  </w:r>
                </w:p>
              </w:tc>
              <w:tc>
                <w:tcPr>
                  <w:tcW w:w="3907" w:type="pct"/>
                  <w:tcBorders>
                    <w:tl2br w:val="nil"/>
                    <w:tr2bl w:val="nil"/>
                  </w:tcBorders>
                  <w:vAlign w:val="center"/>
                </w:tcPr>
                <w:p>
                  <w:pPr>
                    <w:pStyle w:val="77"/>
                    <w:keepNext w:val="0"/>
                    <w:keepLines w:val="0"/>
                    <w:pageBreakBefore w:val="0"/>
                    <w:widowControl/>
                    <w:kinsoku/>
                    <w:wordWrap/>
                    <w:overflowPunct/>
                    <w:topLinePunct w:val="0"/>
                    <w:autoSpaceDE/>
                    <w:autoSpaceDN/>
                    <w:bidi w:val="0"/>
                    <w:adjustRightInd w:val="0"/>
                    <w:snapToGrid w:val="0"/>
                    <w:spacing w:line="240" w:lineRule="auto"/>
                    <w:ind w:left="0" w:right="0" w:firstLine="43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5"/>
                      <w:sz w:val="21"/>
                      <w:szCs w:val="21"/>
                    </w:rPr>
                    <w:t>从总平面布置、工艺、自动控制、建/构筑物防火、电气防火、消</w:t>
                  </w:r>
                  <w:r>
                    <w:rPr>
                      <w:rFonts w:hint="default" w:ascii="Times New Roman" w:hAnsi="Times New Roman" w:eastAsia="宋体" w:cs="Times New Roman"/>
                      <w:color w:val="auto"/>
                      <w:sz w:val="21"/>
                      <w:szCs w:val="21"/>
                    </w:rPr>
                    <w:t>防系统、设备泄压等方面采取防火、防爆控制措施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279" w:type="pct"/>
                  <w:tcBorders>
                    <w:tl2br w:val="nil"/>
                    <w:tr2bl w:val="nil"/>
                  </w:tcBorders>
                  <w:vAlign w:val="center"/>
                </w:tcPr>
                <w:p>
                  <w:pPr>
                    <w:pStyle w:val="77"/>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9"/>
                      <w:sz w:val="21"/>
                      <w:szCs w:val="21"/>
                    </w:rPr>
                    <w:t>4</w:t>
                  </w:r>
                </w:p>
              </w:tc>
              <w:tc>
                <w:tcPr>
                  <w:tcW w:w="812" w:type="pct"/>
                  <w:tcBorders>
                    <w:tl2br w:val="nil"/>
                    <w:tr2bl w:val="nil"/>
                  </w:tcBorders>
                  <w:vAlign w:val="center"/>
                </w:tcPr>
                <w:p>
                  <w:pPr>
                    <w:pStyle w:val="77"/>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自动报警系统</w:t>
                  </w:r>
                </w:p>
              </w:tc>
              <w:tc>
                <w:tcPr>
                  <w:tcW w:w="3907" w:type="pct"/>
                  <w:tcBorders>
                    <w:tl2br w:val="nil"/>
                    <w:tr2bl w:val="nil"/>
                  </w:tcBorders>
                  <w:vAlign w:val="center"/>
                </w:tcPr>
                <w:p>
                  <w:pPr>
                    <w:pStyle w:val="77"/>
                    <w:keepNext w:val="0"/>
                    <w:keepLines w:val="0"/>
                    <w:pageBreakBefore w:val="0"/>
                    <w:widowControl/>
                    <w:kinsoku/>
                    <w:wordWrap/>
                    <w:overflowPunct/>
                    <w:topLinePunct w:val="0"/>
                    <w:autoSpaceDE/>
                    <w:autoSpaceDN/>
                    <w:bidi w:val="0"/>
                    <w:adjustRightInd w:val="0"/>
                    <w:snapToGrid w:val="0"/>
                    <w:spacing w:line="240" w:lineRule="auto"/>
                    <w:ind w:left="0" w:right="0" w:firstLine="43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5"/>
                      <w:sz w:val="21"/>
                      <w:szCs w:val="21"/>
                    </w:rPr>
                    <w:t>安装可燃、有毒气体检测报警盘、火灾报警盘，一旦发生泄漏，</w:t>
                  </w:r>
                  <w:r>
                    <w:rPr>
                      <w:rFonts w:hint="default" w:ascii="Times New Roman" w:hAnsi="Times New Roman" w:eastAsia="宋体" w:cs="Times New Roman"/>
                      <w:color w:val="auto"/>
                      <w:sz w:val="21"/>
                      <w:szCs w:val="21"/>
                    </w:rPr>
                    <w:t>系统自动报警，并立即采取措施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279" w:type="pct"/>
                  <w:tcBorders>
                    <w:tl2br w:val="nil"/>
                    <w:tr2bl w:val="nil"/>
                  </w:tcBorders>
                  <w:vAlign w:val="center"/>
                </w:tcPr>
                <w:p>
                  <w:pPr>
                    <w:pStyle w:val="77"/>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9"/>
                      <w:sz w:val="21"/>
                      <w:szCs w:val="21"/>
                    </w:rPr>
                    <w:t>5</w:t>
                  </w:r>
                </w:p>
              </w:tc>
              <w:tc>
                <w:tcPr>
                  <w:tcW w:w="812" w:type="pct"/>
                  <w:tcBorders>
                    <w:tl2br w:val="nil"/>
                    <w:tr2bl w:val="nil"/>
                  </w:tcBorders>
                  <w:vAlign w:val="center"/>
                </w:tcPr>
                <w:p>
                  <w:pPr>
                    <w:pStyle w:val="77"/>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安全管理措施</w:t>
                  </w:r>
                </w:p>
              </w:tc>
              <w:tc>
                <w:tcPr>
                  <w:tcW w:w="3907" w:type="pct"/>
                  <w:tcBorders>
                    <w:tl2br w:val="nil"/>
                    <w:tr2bl w:val="nil"/>
                  </w:tcBorders>
                  <w:vAlign w:val="center"/>
                </w:tcPr>
                <w:p>
                  <w:pPr>
                    <w:pStyle w:val="77"/>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5"/>
                      <w:sz w:val="21"/>
                      <w:szCs w:val="21"/>
                    </w:rPr>
                    <w:t>设置安管机构，建立安全管理制度，加强人员培训，预防安</w:t>
                  </w:r>
                  <w:r>
                    <w:rPr>
                      <w:rFonts w:hint="default" w:ascii="Times New Roman" w:hAnsi="Times New Roman" w:eastAsia="宋体" w:cs="Times New Roman"/>
                      <w:color w:val="auto"/>
                      <w:sz w:val="21"/>
                      <w:szCs w:val="21"/>
                    </w:rPr>
                    <w:t>全事故发生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279" w:type="pct"/>
                  <w:tcBorders>
                    <w:tl2br w:val="nil"/>
                    <w:tr2bl w:val="nil"/>
                  </w:tcBorders>
                  <w:vAlign w:val="center"/>
                </w:tcPr>
                <w:p>
                  <w:pPr>
                    <w:pStyle w:val="77"/>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9"/>
                      <w:sz w:val="21"/>
                      <w:szCs w:val="21"/>
                    </w:rPr>
                    <w:t>6</w:t>
                  </w:r>
                </w:p>
              </w:tc>
              <w:tc>
                <w:tcPr>
                  <w:tcW w:w="812" w:type="pct"/>
                  <w:tcBorders>
                    <w:tl2br w:val="nil"/>
                    <w:tr2bl w:val="nil"/>
                  </w:tcBorders>
                  <w:vAlign w:val="center"/>
                </w:tcPr>
                <w:p>
                  <w:pPr>
                    <w:pStyle w:val="77"/>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应急预案</w:t>
                  </w:r>
                </w:p>
              </w:tc>
              <w:tc>
                <w:tcPr>
                  <w:tcW w:w="3907" w:type="pct"/>
                  <w:tcBorders>
                    <w:tl2br w:val="nil"/>
                    <w:tr2bl w:val="nil"/>
                  </w:tcBorders>
                  <w:vAlign w:val="center"/>
                </w:tcPr>
                <w:p>
                  <w:pPr>
                    <w:pStyle w:val="77"/>
                    <w:keepNext w:val="0"/>
                    <w:keepLines w:val="0"/>
                    <w:pageBreakBefore w:val="0"/>
                    <w:widowControl/>
                    <w:kinsoku/>
                    <w:wordWrap/>
                    <w:overflowPunct/>
                    <w:topLinePunct w:val="0"/>
                    <w:autoSpaceDE/>
                    <w:autoSpaceDN/>
                    <w:bidi w:val="0"/>
                    <w:adjustRightInd w:val="0"/>
                    <w:snapToGrid w:val="0"/>
                    <w:spacing w:line="240" w:lineRule="auto"/>
                    <w:ind w:left="0" w:right="0" w:firstLine="452"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制定突发环境事件应急预案，从组织机构、救援保障、报警通讯应急监测及救护保障、应急处理措施、事故原因调查分析等方面制定严格的制度，并定期组织培训、演练</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279" w:type="pct"/>
                  <w:tcBorders>
                    <w:tl2br w:val="nil"/>
                    <w:tr2bl w:val="nil"/>
                  </w:tcBorders>
                  <w:vAlign w:val="center"/>
                </w:tcPr>
                <w:p>
                  <w:pPr>
                    <w:pStyle w:val="77"/>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9"/>
                      <w:sz w:val="21"/>
                      <w:szCs w:val="21"/>
                    </w:rPr>
                    <w:t>7</w:t>
                  </w:r>
                </w:p>
              </w:tc>
              <w:tc>
                <w:tcPr>
                  <w:tcW w:w="812" w:type="pct"/>
                  <w:tcBorders>
                    <w:tl2br w:val="nil"/>
                    <w:tr2bl w:val="nil"/>
                  </w:tcBorders>
                  <w:vAlign w:val="center"/>
                </w:tcPr>
                <w:p>
                  <w:pPr>
                    <w:pStyle w:val="77"/>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应急监测</w:t>
                  </w:r>
                </w:p>
              </w:tc>
              <w:tc>
                <w:tcPr>
                  <w:tcW w:w="3907" w:type="pct"/>
                  <w:tcBorders>
                    <w:tl2br w:val="nil"/>
                    <w:tr2bl w:val="nil"/>
                  </w:tcBorders>
                  <w:vAlign w:val="center"/>
                </w:tcPr>
                <w:p>
                  <w:pPr>
                    <w:pStyle w:val="77"/>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包括大气环境应急监测、水环境应急监测</w:t>
                  </w:r>
                </w:p>
              </w:tc>
            </w:tr>
          </w:tbl>
          <w:p>
            <w:pPr>
              <w:pStyle w:val="68"/>
              <w:widowControl w:val="0"/>
              <w:spacing w:line="240" w:lineRule="auto"/>
              <w:ind w:firstLine="512" w:firstLineChars="200"/>
              <w:rPr>
                <w:rFonts w:hint="default" w:ascii="Times New Roman" w:hAnsi="Times New Roman" w:eastAsia="宋体" w:cs="Times New Roman"/>
                <w:color w:val="auto"/>
                <w:sz w:val="24"/>
                <w:szCs w:val="24"/>
              </w:rPr>
            </w:pPr>
          </w:p>
          <w:p>
            <w:pPr>
              <w:pStyle w:val="68"/>
              <w:widowControl w:val="0"/>
              <w:spacing w:line="240" w:lineRule="auto"/>
              <w:ind w:firstLine="512" w:firstLineChars="200"/>
              <w:rPr>
                <w:rFonts w:hint="default" w:ascii="Times New Roman" w:hAnsi="Times New Roman" w:eastAsia="宋体" w:cs="Times New Roman"/>
                <w:color w:val="auto"/>
                <w:sz w:val="24"/>
                <w:szCs w:val="24"/>
              </w:rPr>
            </w:pPr>
          </w:p>
          <w:p>
            <w:pPr>
              <w:pStyle w:val="68"/>
              <w:widowControl w:val="0"/>
              <w:spacing w:line="240" w:lineRule="auto"/>
              <w:ind w:firstLine="512" w:firstLineChars="200"/>
              <w:rPr>
                <w:rFonts w:hint="default" w:ascii="Times New Roman" w:hAnsi="Times New Roman" w:eastAsia="宋体" w:cs="Times New Roman"/>
                <w:color w:val="auto"/>
                <w:sz w:val="24"/>
                <w:szCs w:val="24"/>
              </w:rPr>
            </w:pPr>
          </w:p>
          <w:p>
            <w:pPr>
              <w:pStyle w:val="68"/>
              <w:widowControl w:val="0"/>
              <w:spacing w:line="240" w:lineRule="auto"/>
              <w:ind w:firstLine="512" w:firstLineChars="200"/>
              <w:rPr>
                <w:rFonts w:hint="default" w:ascii="Times New Roman" w:hAnsi="Times New Roman" w:eastAsia="宋体" w:cs="Times New Roman"/>
                <w:color w:val="auto"/>
                <w:sz w:val="24"/>
                <w:szCs w:val="24"/>
              </w:rPr>
            </w:pPr>
          </w:p>
          <w:p>
            <w:pPr>
              <w:pStyle w:val="68"/>
              <w:widowControl w:val="0"/>
              <w:spacing w:line="240" w:lineRule="auto"/>
              <w:ind w:left="0" w:leftChars="0" w:firstLine="0" w:firstLineChars="0"/>
              <w:rPr>
                <w:rFonts w:hint="default" w:ascii="Times New Roman" w:hAnsi="Times New Roman" w:eastAsia="宋体" w:cs="Times New Roman"/>
                <w:color w:val="auto"/>
                <w:sz w:val="24"/>
                <w:szCs w:val="24"/>
              </w:rPr>
            </w:pPr>
          </w:p>
          <w:p>
            <w:pPr>
              <w:pStyle w:val="68"/>
              <w:widowControl w:val="0"/>
              <w:spacing w:line="240" w:lineRule="auto"/>
              <w:ind w:left="0" w:leftChars="0" w:firstLine="0" w:firstLineChars="0"/>
              <w:rPr>
                <w:rFonts w:hint="default" w:ascii="Times New Roman" w:hAnsi="Times New Roman" w:eastAsia="宋体" w:cs="Times New Roman"/>
                <w:color w:val="auto"/>
                <w:sz w:val="24"/>
                <w:szCs w:val="24"/>
              </w:rPr>
            </w:pPr>
          </w:p>
          <w:p>
            <w:pPr>
              <w:pStyle w:val="68"/>
              <w:widowControl w:val="0"/>
              <w:spacing w:line="240" w:lineRule="auto"/>
              <w:ind w:left="0" w:leftChars="0" w:firstLine="0" w:firstLineChars="0"/>
              <w:rPr>
                <w:rFonts w:hint="default" w:ascii="Times New Roman" w:hAnsi="Times New Roman" w:eastAsia="宋体" w:cs="Times New Roman"/>
                <w:color w:val="auto"/>
                <w:sz w:val="24"/>
                <w:szCs w:val="24"/>
              </w:rPr>
            </w:pPr>
          </w:p>
          <w:p>
            <w:pPr>
              <w:pStyle w:val="68"/>
              <w:widowControl w:val="0"/>
              <w:spacing w:line="240" w:lineRule="auto"/>
              <w:ind w:left="0" w:leftChars="0" w:firstLine="0" w:firstLineChars="0"/>
              <w:rPr>
                <w:rFonts w:hint="default" w:ascii="Times New Roman" w:hAnsi="Times New Roman" w:eastAsia="宋体" w:cs="Times New Roman"/>
                <w:color w:val="auto"/>
                <w:sz w:val="24"/>
                <w:szCs w:val="24"/>
              </w:rPr>
            </w:pPr>
          </w:p>
          <w:p>
            <w:pPr>
              <w:pStyle w:val="68"/>
              <w:widowControl w:val="0"/>
              <w:spacing w:line="240" w:lineRule="auto"/>
              <w:ind w:left="0" w:leftChars="0" w:firstLine="0" w:firstLineChars="0"/>
              <w:rPr>
                <w:rFonts w:hint="default" w:ascii="Times New Roman" w:hAnsi="Times New Roman" w:eastAsia="宋体" w:cs="Times New Roman"/>
                <w:color w:val="auto"/>
                <w:sz w:val="24"/>
                <w:szCs w:val="24"/>
              </w:rPr>
            </w:pPr>
          </w:p>
          <w:p>
            <w:pPr>
              <w:pStyle w:val="68"/>
              <w:widowControl w:val="0"/>
              <w:spacing w:line="240" w:lineRule="auto"/>
              <w:ind w:left="0" w:leftChars="0" w:firstLine="0" w:firstLineChars="0"/>
              <w:rPr>
                <w:rFonts w:hint="default" w:ascii="Times New Roman" w:hAnsi="Times New Roman" w:eastAsia="宋体" w:cs="Times New Roman"/>
                <w:color w:val="auto"/>
                <w:sz w:val="24"/>
                <w:szCs w:val="24"/>
              </w:rPr>
            </w:pPr>
          </w:p>
          <w:p>
            <w:pPr>
              <w:pStyle w:val="68"/>
              <w:widowControl w:val="0"/>
              <w:spacing w:line="240" w:lineRule="auto"/>
              <w:ind w:left="0" w:leftChars="0" w:firstLine="0" w:firstLineChars="0"/>
              <w:rPr>
                <w:rFonts w:hint="default" w:ascii="Times New Roman" w:hAnsi="Times New Roman" w:eastAsia="宋体" w:cs="Times New Roman"/>
                <w:color w:val="auto"/>
                <w:sz w:val="24"/>
                <w:szCs w:val="24"/>
              </w:rPr>
            </w:pPr>
          </w:p>
          <w:p>
            <w:pPr>
              <w:pStyle w:val="68"/>
              <w:widowControl w:val="0"/>
              <w:spacing w:line="240" w:lineRule="auto"/>
              <w:ind w:left="0" w:leftChars="0" w:firstLine="0" w:firstLineChars="0"/>
              <w:rPr>
                <w:rFonts w:hint="default" w:ascii="Times New Roman" w:hAnsi="Times New Roman" w:eastAsia="宋体" w:cs="Times New Roman"/>
                <w:color w:val="auto"/>
                <w:sz w:val="24"/>
                <w:szCs w:val="24"/>
              </w:rPr>
            </w:pPr>
          </w:p>
          <w:p>
            <w:pPr>
              <w:pStyle w:val="68"/>
              <w:widowControl w:val="0"/>
              <w:spacing w:line="240" w:lineRule="auto"/>
              <w:ind w:left="0" w:leftChars="0" w:firstLine="0" w:firstLineChars="0"/>
              <w:rPr>
                <w:rFonts w:hint="default" w:ascii="Times New Roman" w:hAnsi="Times New Roman" w:eastAsia="宋体" w:cs="Times New Roman"/>
                <w:color w:val="auto"/>
                <w:sz w:val="24"/>
                <w:szCs w:val="24"/>
              </w:rPr>
            </w:pPr>
          </w:p>
          <w:p>
            <w:pPr>
              <w:pStyle w:val="68"/>
              <w:widowControl w:val="0"/>
              <w:spacing w:line="240" w:lineRule="auto"/>
              <w:ind w:left="0" w:leftChars="0" w:firstLine="0" w:firstLineChars="0"/>
              <w:rPr>
                <w:rFonts w:hint="default" w:ascii="Times New Roman" w:hAnsi="Times New Roman" w:eastAsia="宋体" w:cs="Times New Roman"/>
                <w:color w:val="auto"/>
                <w:sz w:val="24"/>
                <w:szCs w:val="24"/>
              </w:rPr>
            </w:pPr>
          </w:p>
          <w:p>
            <w:pPr>
              <w:pStyle w:val="68"/>
              <w:widowControl w:val="0"/>
              <w:spacing w:line="240" w:lineRule="auto"/>
              <w:ind w:left="0" w:leftChars="0" w:firstLine="0" w:firstLineChars="0"/>
              <w:rPr>
                <w:rFonts w:hint="default" w:ascii="Times New Roman" w:hAnsi="Times New Roman" w:eastAsia="宋体" w:cs="Times New Roman"/>
                <w:color w:val="auto"/>
                <w:sz w:val="24"/>
                <w:szCs w:val="24"/>
              </w:rPr>
            </w:pPr>
          </w:p>
          <w:p>
            <w:pPr>
              <w:pStyle w:val="68"/>
              <w:widowControl w:val="0"/>
              <w:spacing w:line="240" w:lineRule="auto"/>
              <w:ind w:left="0" w:leftChars="0" w:firstLine="0" w:firstLineChars="0"/>
              <w:rPr>
                <w:rFonts w:hint="default" w:ascii="Times New Roman" w:hAnsi="Times New Roman" w:eastAsia="宋体" w:cs="Times New Roman"/>
                <w:color w:val="auto"/>
                <w:sz w:val="24"/>
                <w:szCs w:val="24"/>
              </w:rPr>
            </w:pPr>
          </w:p>
          <w:p>
            <w:pPr>
              <w:pStyle w:val="68"/>
              <w:widowControl w:val="0"/>
              <w:spacing w:line="240" w:lineRule="auto"/>
              <w:ind w:left="0" w:leftChars="0" w:firstLine="0" w:firstLineChars="0"/>
              <w:rPr>
                <w:rFonts w:hint="default" w:ascii="Times New Roman" w:hAnsi="Times New Roman" w:eastAsia="宋体" w:cs="Times New Roman"/>
                <w:color w:val="auto"/>
                <w:sz w:val="24"/>
                <w:szCs w:val="24"/>
              </w:rPr>
            </w:pPr>
          </w:p>
          <w:p>
            <w:pPr>
              <w:pStyle w:val="68"/>
              <w:widowControl w:val="0"/>
              <w:spacing w:line="240" w:lineRule="auto"/>
              <w:ind w:left="0" w:leftChars="0" w:firstLine="0" w:firstLineChars="0"/>
              <w:rPr>
                <w:rFonts w:hint="default" w:ascii="Times New Roman" w:hAnsi="Times New Roman" w:eastAsia="宋体" w:cs="Times New Roman"/>
                <w:color w:val="auto"/>
                <w:sz w:val="24"/>
                <w:szCs w:val="24"/>
              </w:rPr>
            </w:pPr>
          </w:p>
          <w:p>
            <w:pPr>
              <w:pStyle w:val="68"/>
              <w:widowControl w:val="0"/>
              <w:spacing w:line="240" w:lineRule="auto"/>
              <w:ind w:left="0" w:leftChars="0" w:firstLine="0" w:firstLineChars="0"/>
              <w:rPr>
                <w:rFonts w:hint="default" w:ascii="Times New Roman" w:hAnsi="Times New Roman" w:eastAsia="宋体" w:cs="Times New Roman"/>
                <w:color w:val="auto"/>
                <w:sz w:val="24"/>
                <w:szCs w:val="24"/>
              </w:rPr>
            </w:pPr>
          </w:p>
          <w:p>
            <w:pPr>
              <w:pStyle w:val="68"/>
              <w:widowControl w:val="0"/>
              <w:spacing w:line="240" w:lineRule="auto"/>
              <w:ind w:left="0" w:leftChars="0" w:firstLine="0" w:firstLineChars="0"/>
              <w:rPr>
                <w:rFonts w:hint="default" w:ascii="Times New Roman" w:hAnsi="Times New Roman" w:eastAsia="宋体" w:cs="Times New Roman"/>
                <w:color w:val="auto"/>
                <w:sz w:val="24"/>
                <w:szCs w:val="24"/>
              </w:rPr>
            </w:pPr>
          </w:p>
        </w:tc>
      </w:tr>
    </w:tbl>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五、</w:t>
      </w:r>
      <w:bookmarkStart w:id="3" w:name="_Hlk54167917"/>
      <w:r>
        <w:rPr>
          <w:rFonts w:ascii="Times New Roman" w:hAnsi="Times New Roman" w:eastAsia="黑体"/>
          <w:snapToGrid w:val="0"/>
          <w:color w:val="auto"/>
          <w:sz w:val="30"/>
          <w:szCs w:val="30"/>
        </w:rPr>
        <w:t>环境保护措施监督监查清单</w:t>
      </w:r>
      <w:bookmarkEnd w:id="3"/>
    </w:p>
    <w:tbl>
      <w:tblPr>
        <w:tblStyle w:val="27"/>
        <w:tblW w:w="504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1373"/>
        <w:gridCol w:w="438"/>
        <w:gridCol w:w="1201"/>
        <w:gridCol w:w="2526"/>
        <w:gridCol w:w="24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4" w:type="pct"/>
            <w:tcBorders>
              <w:tl2br w:val="nil"/>
              <w:tr2bl w:val="nil"/>
            </w:tcBorders>
            <w:vAlign w:val="center"/>
          </w:tcPr>
          <w:p>
            <w:pPr>
              <w:adjustRightInd w:val="0"/>
              <w:snapToGrid w:val="0"/>
              <w:rPr>
                <w:b/>
                <w:bCs/>
                <w:color w:val="auto"/>
                <w:sz w:val="21"/>
                <w:szCs w:val="21"/>
              </w:rPr>
            </w:pPr>
            <w:r>
              <w:rPr>
                <w:b/>
                <w:bCs/>
                <w:color w:val="auto"/>
                <w:sz w:val="21"/>
                <w:szCs w:val="21"/>
              </w:rPr>
              <w:t>内容要素</w:t>
            </w:r>
          </w:p>
        </w:tc>
        <w:tc>
          <w:tcPr>
            <w:tcW w:w="732" w:type="pct"/>
            <w:tcBorders>
              <w:tl2br w:val="nil"/>
              <w:tr2bl w:val="nil"/>
            </w:tcBorders>
            <w:vAlign w:val="center"/>
          </w:tcPr>
          <w:p>
            <w:pPr>
              <w:adjustRightInd w:val="0"/>
              <w:snapToGrid w:val="0"/>
              <w:jc w:val="center"/>
              <w:rPr>
                <w:b/>
                <w:bCs/>
                <w:color w:val="auto"/>
                <w:sz w:val="21"/>
                <w:szCs w:val="21"/>
              </w:rPr>
            </w:pPr>
            <w:r>
              <w:rPr>
                <w:b/>
                <w:bCs/>
                <w:color w:val="auto"/>
                <w:sz w:val="21"/>
                <w:szCs w:val="21"/>
              </w:rPr>
              <w:t>排放口</w:t>
            </w:r>
          </w:p>
          <w:p>
            <w:pPr>
              <w:adjustRightInd w:val="0"/>
              <w:snapToGrid w:val="0"/>
              <w:jc w:val="center"/>
              <w:rPr>
                <w:rFonts w:hint="eastAsia"/>
                <w:b/>
                <w:bCs/>
                <w:color w:val="auto"/>
                <w:sz w:val="21"/>
                <w:szCs w:val="21"/>
                <w:lang w:eastAsia="zh-CN"/>
              </w:rPr>
            </w:pPr>
            <w:r>
              <w:rPr>
                <w:rFonts w:hint="eastAsia"/>
                <w:b/>
                <w:bCs/>
                <w:color w:val="auto"/>
                <w:sz w:val="21"/>
                <w:szCs w:val="21"/>
                <w:lang w:eastAsia="zh-CN"/>
              </w:rPr>
              <w:t>（</w:t>
            </w:r>
            <w:r>
              <w:rPr>
                <w:b/>
                <w:bCs/>
                <w:color w:val="auto"/>
                <w:sz w:val="21"/>
                <w:szCs w:val="21"/>
              </w:rPr>
              <w:t>污染源</w:t>
            </w:r>
            <w:r>
              <w:rPr>
                <w:rFonts w:hint="eastAsia"/>
                <w:b/>
                <w:bCs/>
                <w:color w:val="auto"/>
                <w:sz w:val="21"/>
                <w:szCs w:val="21"/>
                <w:lang w:eastAsia="zh-CN"/>
              </w:rPr>
              <w:t>）</w:t>
            </w:r>
          </w:p>
        </w:tc>
        <w:tc>
          <w:tcPr>
            <w:tcW w:w="874" w:type="pct"/>
            <w:gridSpan w:val="2"/>
            <w:tcBorders>
              <w:tl2br w:val="nil"/>
              <w:tr2bl w:val="nil"/>
            </w:tcBorders>
            <w:vAlign w:val="center"/>
          </w:tcPr>
          <w:p>
            <w:pPr>
              <w:adjustRightInd w:val="0"/>
              <w:snapToGrid w:val="0"/>
              <w:jc w:val="center"/>
              <w:rPr>
                <w:b/>
                <w:bCs/>
                <w:color w:val="auto"/>
                <w:sz w:val="21"/>
                <w:szCs w:val="21"/>
              </w:rPr>
            </w:pPr>
            <w:r>
              <w:rPr>
                <w:b/>
                <w:bCs/>
                <w:color w:val="auto"/>
                <w:sz w:val="21"/>
                <w:szCs w:val="21"/>
              </w:rPr>
              <w:t>污染物项目</w:t>
            </w:r>
          </w:p>
        </w:tc>
        <w:tc>
          <w:tcPr>
            <w:tcW w:w="1347" w:type="pct"/>
            <w:tcBorders>
              <w:tl2br w:val="nil"/>
              <w:tr2bl w:val="nil"/>
            </w:tcBorders>
            <w:vAlign w:val="center"/>
          </w:tcPr>
          <w:p>
            <w:pPr>
              <w:adjustRightInd w:val="0"/>
              <w:snapToGrid w:val="0"/>
              <w:jc w:val="center"/>
              <w:rPr>
                <w:b/>
                <w:bCs/>
                <w:color w:val="auto"/>
                <w:sz w:val="21"/>
                <w:szCs w:val="21"/>
              </w:rPr>
            </w:pPr>
            <w:r>
              <w:rPr>
                <w:b/>
                <w:bCs/>
                <w:color w:val="auto"/>
                <w:sz w:val="21"/>
                <w:szCs w:val="21"/>
              </w:rPr>
              <w:t>环境保护措施</w:t>
            </w:r>
          </w:p>
        </w:tc>
        <w:tc>
          <w:tcPr>
            <w:tcW w:w="1321" w:type="pct"/>
            <w:tcBorders>
              <w:tl2br w:val="nil"/>
              <w:tr2bl w:val="nil"/>
            </w:tcBorders>
            <w:vAlign w:val="center"/>
          </w:tcPr>
          <w:p>
            <w:pPr>
              <w:adjustRightInd w:val="0"/>
              <w:snapToGrid w:val="0"/>
              <w:jc w:val="center"/>
              <w:rPr>
                <w:b/>
                <w:bCs/>
                <w:color w:val="auto"/>
                <w:sz w:val="21"/>
                <w:szCs w:val="21"/>
              </w:rPr>
            </w:pPr>
            <w:r>
              <w:rPr>
                <w:b/>
                <w:bCs/>
                <w:color w:val="auto"/>
                <w:sz w:val="21"/>
                <w:szCs w:val="21"/>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4" w:type="pct"/>
            <w:tcBorders>
              <w:tl2br w:val="nil"/>
              <w:tr2bl w:val="nil"/>
            </w:tcBorders>
            <w:vAlign w:val="center"/>
          </w:tcPr>
          <w:p>
            <w:pPr>
              <w:widowControl/>
              <w:snapToGrid w:val="0"/>
              <w:jc w:val="center"/>
              <w:rPr>
                <w:rFonts w:ascii="宋体" w:hAnsi="宋体"/>
                <w:b/>
                <w:snapToGrid w:val="0"/>
                <w:color w:val="auto"/>
                <w:kern w:val="0"/>
                <w:sz w:val="21"/>
                <w:szCs w:val="21"/>
              </w:rPr>
            </w:pPr>
            <w:r>
              <w:rPr>
                <w:rFonts w:hint="eastAsia" w:ascii="宋体" w:hAnsi="宋体"/>
                <w:b/>
                <w:snapToGrid w:val="0"/>
                <w:color w:val="auto"/>
                <w:kern w:val="0"/>
                <w:sz w:val="21"/>
                <w:szCs w:val="21"/>
              </w:rPr>
              <w:t>大气环境</w:t>
            </w:r>
          </w:p>
        </w:tc>
        <w:tc>
          <w:tcPr>
            <w:tcW w:w="732" w:type="pct"/>
            <w:tcBorders>
              <w:tl2br w:val="nil"/>
              <w:tr2bl w:val="nil"/>
            </w:tcBorders>
            <w:vAlign w:val="center"/>
          </w:tcPr>
          <w:p>
            <w:pPr>
              <w:adjustRightInd w:val="0"/>
              <w:snapToGrid w:val="0"/>
              <w:jc w:val="center"/>
              <w:rPr>
                <w:rFonts w:hint="eastAsia" w:eastAsia="宋体"/>
                <w:color w:val="auto"/>
                <w:sz w:val="21"/>
                <w:szCs w:val="21"/>
                <w:lang w:val="en-US" w:eastAsia="zh-CN"/>
              </w:rPr>
            </w:pPr>
            <w:r>
              <w:rPr>
                <w:rFonts w:ascii="宋体" w:hAnsi="宋体" w:eastAsia="宋体" w:cs="宋体"/>
                <w:color w:val="auto"/>
                <w:sz w:val="21"/>
                <w:szCs w:val="21"/>
              </w:rPr>
              <w:t>卸油、加油、储存</w:t>
            </w:r>
            <w:r>
              <w:rPr>
                <w:rFonts w:hint="eastAsia" w:ascii="宋体" w:hAnsi="宋体" w:eastAsia="宋体" w:cs="宋体"/>
                <w:color w:val="auto"/>
                <w:sz w:val="21"/>
                <w:szCs w:val="21"/>
                <w:lang w:val="en-US" w:eastAsia="zh-CN"/>
              </w:rPr>
              <w:t>过程</w:t>
            </w:r>
          </w:p>
        </w:tc>
        <w:tc>
          <w:tcPr>
            <w:tcW w:w="874" w:type="pct"/>
            <w:gridSpan w:val="2"/>
            <w:tcBorders>
              <w:tl2br w:val="nil"/>
              <w:tr2bl w:val="nil"/>
            </w:tcBorders>
            <w:vAlign w:val="center"/>
          </w:tcPr>
          <w:p>
            <w:pPr>
              <w:adjustRightInd w:val="0"/>
              <w:snapToGrid w:val="0"/>
              <w:jc w:val="center"/>
              <w:rPr>
                <w:color w:val="auto"/>
                <w:sz w:val="21"/>
                <w:szCs w:val="21"/>
              </w:rPr>
            </w:pPr>
            <w:r>
              <w:rPr>
                <w:rFonts w:ascii="宋体" w:hAnsi="宋体" w:eastAsia="宋体" w:cs="宋体"/>
                <w:color w:val="auto"/>
                <w:sz w:val="21"/>
                <w:szCs w:val="21"/>
              </w:rPr>
              <w:t>非甲烷总烃</w:t>
            </w:r>
          </w:p>
        </w:tc>
        <w:tc>
          <w:tcPr>
            <w:tcW w:w="1347" w:type="pct"/>
            <w:tcBorders>
              <w:tl2br w:val="nil"/>
              <w:tr2bl w:val="nil"/>
            </w:tcBorders>
            <w:vAlign w:val="center"/>
          </w:tcPr>
          <w:p>
            <w:pPr>
              <w:adjustRightInd w:val="0"/>
              <w:snapToGrid w:val="0"/>
              <w:jc w:val="both"/>
              <w:rPr>
                <w:color w:val="auto"/>
                <w:sz w:val="21"/>
                <w:szCs w:val="21"/>
              </w:rPr>
            </w:pPr>
            <w:r>
              <w:rPr>
                <w:rFonts w:hint="default" w:ascii="Times New Roman" w:hAnsi="Times New Roman" w:eastAsia="宋体" w:cs="Times New Roman"/>
                <w:color w:val="auto"/>
                <w:sz w:val="21"/>
                <w:szCs w:val="21"/>
              </w:rPr>
              <w:t>卸油油气回收系统（一次回 收系统）1 套；加油油气回 收系统（二次回收系统）1套</w:t>
            </w:r>
          </w:p>
        </w:tc>
        <w:tc>
          <w:tcPr>
            <w:tcW w:w="1321" w:type="pct"/>
            <w:tcBorders>
              <w:tl2br w:val="nil"/>
              <w:tr2bl w:val="nil"/>
            </w:tcBorders>
            <w:vAlign w:val="center"/>
          </w:tcPr>
          <w:p>
            <w:pPr>
              <w:widowControl/>
              <w:snapToGrid w:val="0"/>
              <w:jc w:val="left"/>
              <w:rPr>
                <w:snapToGrid w:val="0"/>
                <w:color w:val="auto"/>
                <w:kern w:val="0"/>
                <w:sz w:val="21"/>
                <w:szCs w:val="21"/>
              </w:rPr>
            </w:pPr>
            <w:r>
              <w:rPr>
                <w:rFonts w:hint="default" w:ascii="Times New Roman" w:hAnsi="Times New Roman" w:cs="Times New Roman"/>
                <w:color w:val="auto"/>
                <w:sz w:val="21"/>
                <w:szCs w:val="21"/>
              </w:rPr>
              <w:t>《加油站大气污染物排放标准》（GB20952-2020）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4" w:type="pct"/>
            <w:tcBorders>
              <w:tl2br w:val="nil"/>
              <w:tr2bl w:val="nil"/>
            </w:tcBorders>
            <w:vAlign w:val="center"/>
          </w:tcPr>
          <w:p>
            <w:pPr>
              <w:widowControl/>
              <w:snapToGrid w:val="0"/>
              <w:jc w:val="center"/>
              <w:rPr>
                <w:rFonts w:hint="default" w:ascii="宋体" w:hAnsi="宋体" w:eastAsia="宋体"/>
                <w:b/>
                <w:snapToGrid w:val="0"/>
                <w:color w:val="auto"/>
                <w:kern w:val="0"/>
                <w:sz w:val="21"/>
                <w:szCs w:val="21"/>
                <w:lang w:val="en-US" w:eastAsia="zh-CN"/>
              </w:rPr>
            </w:pPr>
            <w:r>
              <w:rPr>
                <w:rFonts w:hint="eastAsia" w:ascii="宋体" w:hAnsi="宋体"/>
                <w:b/>
                <w:snapToGrid w:val="0"/>
                <w:color w:val="auto"/>
                <w:kern w:val="0"/>
                <w:sz w:val="21"/>
                <w:szCs w:val="21"/>
                <w:lang w:val="en-US" w:eastAsia="zh-CN"/>
              </w:rPr>
              <w:t>地表水环境</w:t>
            </w:r>
          </w:p>
        </w:tc>
        <w:tc>
          <w:tcPr>
            <w:tcW w:w="732" w:type="pct"/>
            <w:tcBorders>
              <w:tl2br w:val="nil"/>
              <w:tr2bl w:val="nil"/>
            </w:tcBorders>
            <w:vAlign w:val="center"/>
          </w:tcPr>
          <w:p>
            <w:pPr>
              <w:adjustRightInd w:val="0"/>
              <w:snapToGrid w:val="0"/>
              <w:jc w:val="center"/>
              <w:rPr>
                <w:rFonts w:hint="eastAsia" w:eastAsia="宋体"/>
                <w:bCs/>
                <w:color w:val="auto"/>
                <w:sz w:val="21"/>
                <w:szCs w:val="21"/>
                <w:lang w:val="en-US" w:eastAsia="zh-CN"/>
              </w:rPr>
            </w:pPr>
            <w:r>
              <w:rPr>
                <w:rFonts w:hint="eastAsia"/>
                <w:bCs/>
                <w:color w:val="auto"/>
                <w:sz w:val="21"/>
                <w:szCs w:val="21"/>
                <w:lang w:val="en-US" w:eastAsia="zh-CN"/>
              </w:rPr>
              <w:t>生活污水</w:t>
            </w:r>
          </w:p>
        </w:tc>
        <w:tc>
          <w:tcPr>
            <w:tcW w:w="874" w:type="pct"/>
            <w:gridSpan w:val="2"/>
            <w:tcBorders>
              <w:tl2br w:val="nil"/>
              <w:tr2bl w:val="nil"/>
            </w:tcBorders>
            <w:vAlign w:val="center"/>
          </w:tcPr>
          <w:p>
            <w:pPr>
              <w:adjustRightInd w:val="0"/>
              <w:snapToGrid w:val="0"/>
              <w:jc w:val="center"/>
              <w:rPr>
                <w:rFonts w:hint="eastAsia" w:eastAsia="宋体"/>
                <w:bCs/>
                <w:color w:val="auto"/>
                <w:sz w:val="21"/>
                <w:szCs w:val="21"/>
                <w:lang w:val="en-US" w:eastAsia="zh-CN"/>
              </w:rPr>
            </w:pPr>
            <w:r>
              <w:rPr>
                <w:rFonts w:hint="default" w:ascii="Times New Roman" w:hAnsi="Times New Roman" w:eastAsia="宋体" w:cs="Times New Roman"/>
                <w:color w:val="auto"/>
                <w:sz w:val="21"/>
                <w:szCs w:val="21"/>
              </w:rPr>
              <w:t>COD</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r>
              <w:rPr>
                <w:rFonts w:hint="eastAsia"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rPr>
              <w:t xml:space="preserve"> SS</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 xml:space="preserve"> TN</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TP</w:t>
            </w:r>
          </w:p>
        </w:tc>
        <w:tc>
          <w:tcPr>
            <w:tcW w:w="1347" w:type="pct"/>
            <w:tcBorders>
              <w:tl2br w:val="nil"/>
              <w:tr2bl w:val="nil"/>
            </w:tcBorders>
            <w:vAlign w:val="center"/>
          </w:tcPr>
          <w:p>
            <w:pPr>
              <w:adjustRightInd w:val="0"/>
              <w:snapToGrid w:val="0"/>
              <w:jc w:val="both"/>
              <w:rPr>
                <w:rFonts w:hint="default" w:eastAsia="宋体"/>
                <w:color w:val="auto"/>
                <w:kern w:val="0"/>
                <w:sz w:val="21"/>
                <w:szCs w:val="21"/>
                <w:lang w:val="en-US" w:eastAsia="zh-CN" w:bidi="ar"/>
              </w:rPr>
            </w:pPr>
            <w:r>
              <w:rPr>
                <w:rFonts w:hint="default" w:ascii="Times New Roman" w:hAnsi="Times New Roman" w:eastAsia="宋体" w:cs="Times New Roman"/>
                <w:color w:val="auto"/>
                <w:sz w:val="21"/>
                <w:szCs w:val="21"/>
              </w:rPr>
              <w:t>经站内自建化粪池（</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0m³，防渗系数≤1×10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cm/s）处理后，</w:t>
            </w:r>
            <w:r>
              <w:rPr>
                <w:rFonts w:hint="eastAsia" w:cs="Times New Roman"/>
                <w:color w:val="auto"/>
                <w:sz w:val="21"/>
                <w:szCs w:val="21"/>
                <w:lang w:val="en-US" w:eastAsia="zh-CN"/>
              </w:rPr>
              <w:t>定期</w:t>
            </w:r>
            <w:r>
              <w:rPr>
                <w:rFonts w:hint="default" w:ascii="Times New Roman" w:hAnsi="Times New Roman" w:eastAsia="宋体" w:cs="Times New Roman"/>
                <w:color w:val="auto"/>
                <w:sz w:val="21"/>
                <w:szCs w:val="21"/>
              </w:rPr>
              <w:t>通过吸污车清掏处理，最终</w:t>
            </w:r>
            <w:r>
              <w:rPr>
                <w:rFonts w:hint="eastAsia" w:cs="Times New Roman"/>
                <w:color w:val="auto"/>
                <w:sz w:val="21"/>
                <w:szCs w:val="21"/>
                <w:lang w:val="en-US" w:eastAsia="zh-CN"/>
              </w:rPr>
              <w:t>运至中宁县污水处理厂处理</w:t>
            </w:r>
          </w:p>
        </w:tc>
        <w:tc>
          <w:tcPr>
            <w:tcW w:w="1321" w:type="pct"/>
            <w:tcBorders>
              <w:tl2br w:val="nil"/>
              <w:tr2bl w:val="nil"/>
            </w:tcBorders>
            <w:vAlign w:val="center"/>
          </w:tcPr>
          <w:p>
            <w:pPr>
              <w:widowControl/>
              <w:snapToGrid w:val="0"/>
              <w:jc w:val="center"/>
              <w:rPr>
                <w:rFonts w:hint="eastAsia" w:eastAsia="宋体"/>
                <w:snapToGrid w:val="0"/>
                <w:color w:val="auto"/>
                <w:kern w:val="0"/>
                <w:sz w:val="21"/>
                <w:szCs w:val="21"/>
                <w:lang w:val="en-US" w:eastAsia="zh-CN"/>
              </w:rPr>
            </w:pPr>
            <w:r>
              <w:rPr>
                <w:rFonts w:hint="eastAsia"/>
                <w:snapToGrid w:val="0"/>
                <w:color w:val="auto"/>
                <w:kern w:val="0"/>
                <w:sz w:val="21"/>
                <w:szCs w:val="21"/>
                <w:lang w:val="en-US" w:eastAsia="zh-CN"/>
              </w:rPr>
              <w:t>零排放，对地表水环境影响较小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724" w:type="pct"/>
            <w:tcBorders>
              <w:tl2br w:val="nil"/>
              <w:tr2bl w:val="nil"/>
            </w:tcBorders>
            <w:vAlign w:val="center"/>
          </w:tcPr>
          <w:p>
            <w:pPr>
              <w:widowControl/>
              <w:snapToGrid w:val="0"/>
              <w:jc w:val="center"/>
              <w:rPr>
                <w:rFonts w:hint="eastAsia" w:ascii="宋体" w:hAnsi="宋体"/>
                <w:b/>
                <w:snapToGrid w:val="0"/>
                <w:color w:val="auto"/>
                <w:kern w:val="0"/>
                <w:sz w:val="21"/>
                <w:szCs w:val="21"/>
                <w:lang w:val="en-US" w:eastAsia="zh-CN"/>
              </w:rPr>
            </w:pPr>
            <w:r>
              <w:rPr>
                <w:b/>
                <w:bCs/>
                <w:color w:val="auto"/>
                <w:sz w:val="21"/>
                <w:szCs w:val="21"/>
              </w:rPr>
              <w:t>固体废物</w:t>
            </w:r>
          </w:p>
        </w:tc>
        <w:tc>
          <w:tcPr>
            <w:tcW w:w="4275" w:type="pct"/>
            <w:gridSpan w:val="5"/>
            <w:tcBorders>
              <w:tl2br w:val="nil"/>
              <w:tr2bl w:val="nil"/>
            </w:tcBorders>
            <w:vAlign w:val="center"/>
          </w:tcPr>
          <w:p>
            <w:pPr>
              <w:widowControl/>
              <w:snapToGrid w:val="0"/>
              <w:ind w:firstLine="452" w:firstLineChars="200"/>
              <w:jc w:val="left"/>
              <w:rPr>
                <w:rFonts w:hint="default"/>
                <w:snapToGrid w:val="0"/>
                <w:color w:val="auto"/>
                <w:kern w:val="0"/>
                <w:sz w:val="21"/>
                <w:szCs w:val="21"/>
                <w:lang w:val="en-US" w:eastAsia="zh-CN"/>
              </w:rPr>
            </w:pPr>
            <w:r>
              <w:rPr>
                <w:rFonts w:hint="eastAsia"/>
                <w:snapToGrid w:val="0"/>
                <w:color w:val="auto"/>
                <w:kern w:val="0"/>
                <w:sz w:val="21"/>
                <w:szCs w:val="21"/>
                <w:lang w:val="en-US" w:eastAsia="zh-CN"/>
              </w:rPr>
              <w:t>项目产生的生活垃圾经收集后送至附近垃圾中转站统一处置，有关清理及检修均委托有资质的第三方单位进行，清理后的油罐油渣、含油废弃手套、抹布属于危险废物，统一交由有资质的单位进行处置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4" w:type="pct"/>
            <w:tcBorders>
              <w:tl2br w:val="nil"/>
              <w:tr2bl w:val="nil"/>
            </w:tcBorders>
            <w:vAlign w:val="center"/>
          </w:tcPr>
          <w:p>
            <w:pPr>
              <w:snapToGrid w:val="0"/>
              <w:jc w:val="center"/>
              <w:rPr>
                <w:rFonts w:ascii="宋体" w:hAnsi="宋体"/>
                <w:b/>
                <w:snapToGrid w:val="0"/>
                <w:color w:val="auto"/>
                <w:sz w:val="21"/>
                <w:szCs w:val="21"/>
              </w:rPr>
            </w:pPr>
            <w:r>
              <w:rPr>
                <w:rFonts w:ascii="宋体" w:hAnsi="宋体"/>
                <w:b/>
                <w:snapToGrid w:val="0"/>
                <w:color w:val="auto"/>
                <w:sz w:val="21"/>
                <w:szCs w:val="21"/>
              </w:rPr>
              <w:t>声环境</w:t>
            </w:r>
          </w:p>
        </w:tc>
        <w:tc>
          <w:tcPr>
            <w:tcW w:w="4275" w:type="pct"/>
            <w:gridSpan w:val="5"/>
            <w:tcBorders>
              <w:tl2br w:val="nil"/>
              <w:tr2bl w:val="nil"/>
            </w:tcBorders>
            <w:vAlign w:val="center"/>
          </w:tcPr>
          <w:p>
            <w:pPr>
              <w:adjustRightInd w:val="0"/>
              <w:snapToGrid w:val="0"/>
              <w:ind w:firstLine="452" w:firstLineChars="200"/>
              <w:jc w:val="left"/>
              <w:rPr>
                <w:color w:val="auto"/>
                <w:sz w:val="21"/>
                <w:szCs w:val="21"/>
              </w:rPr>
            </w:pPr>
            <w:r>
              <w:rPr>
                <w:rFonts w:hint="default" w:ascii="Times New Roman" w:hAnsi="Times New Roman" w:eastAsia="宋体" w:cs="Times New Roman"/>
                <w:bCs/>
                <w:color w:val="auto"/>
                <w:sz w:val="21"/>
                <w:szCs w:val="21"/>
              </w:rPr>
              <w:t>本项目噪声主要来源于加油机、泵等设备产生的噪声和机动车辆进出产生的噪声，其噪声值为65~75dB(A)。通过对高噪声设备采用消音、减振措施，并在进出口设置禁鸣标志及减速带，项目厂界噪声预测值可满足《工业企业厂界环境噪声排放标准》（GB12348-2008）2类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724" w:type="pct"/>
            <w:tcBorders>
              <w:tl2br w:val="nil"/>
              <w:tr2bl w:val="nil"/>
            </w:tcBorders>
            <w:vAlign w:val="center"/>
          </w:tcPr>
          <w:p>
            <w:pPr>
              <w:adjustRightInd w:val="0"/>
              <w:snapToGrid w:val="0"/>
              <w:jc w:val="center"/>
              <w:rPr>
                <w:b/>
                <w:bCs/>
                <w:color w:val="auto"/>
                <w:sz w:val="21"/>
                <w:szCs w:val="21"/>
              </w:rPr>
            </w:pPr>
            <w:r>
              <w:rPr>
                <w:b/>
                <w:bCs/>
                <w:color w:val="auto"/>
                <w:sz w:val="21"/>
                <w:szCs w:val="21"/>
              </w:rPr>
              <w:t>电磁辐射</w:t>
            </w:r>
          </w:p>
        </w:tc>
        <w:tc>
          <w:tcPr>
            <w:tcW w:w="4275" w:type="pct"/>
            <w:gridSpan w:val="5"/>
            <w:tcBorders>
              <w:tl2br w:val="nil"/>
              <w:tr2bl w:val="nil"/>
            </w:tcBorders>
            <w:vAlign w:val="center"/>
          </w:tcPr>
          <w:p>
            <w:pPr>
              <w:pStyle w:val="32"/>
              <w:jc w:val="center"/>
              <w:rPr>
                <w:color w:val="auto"/>
                <w:sz w:val="21"/>
                <w:szCs w:val="21"/>
              </w:rPr>
            </w:pPr>
            <w:r>
              <w:rPr>
                <w:rFonts w:hint="eastAsia"/>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7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auto"/>
                <w:sz w:val="21"/>
                <w:szCs w:val="21"/>
              </w:rPr>
            </w:pPr>
            <w:r>
              <w:rPr>
                <w:rFonts w:hint="default"/>
                <w:b/>
                <w:bCs/>
                <w:color w:val="auto"/>
                <w:sz w:val="21"/>
                <w:szCs w:val="21"/>
              </w:rPr>
              <w:t>土壤及地下水污染防治措施</w:t>
            </w:r>
          </w:p>
        </w:tc>
        <w:tc>
          <w:tcPr>
            <w:tcW w:w="4275" w:type="pct"/>
            <w:gridSpan w:val="5"/>
            <w:tcBorders>
              <w:tl2br w:val="nil"/>
              <w:tr2bl w:val="nil"/>
            </w:tcBorders>
            <w:vAlign w:val="center"/>
          </w:tcPr>
          <w:p>
            <w:pPr>
              <w:adjustRightInd w:val="0"/>
              <w:snapToGrid w:val="0"/>
              <w:ind w:firstLine="452" w:firstLineChars="200"/>
              <w:jc w:val="left"/>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项目</w:t>
            </w:r>
            <w:r>
              <w:rPr>
                <w:rFonts w:hint="default" w:ascii="Times New Roman" w:hAnsi="Times New Roman" w:eastAsia="宋体" w:cs="Times New Roman"/>
                <w:bCs/>
                <w:color w:val="auto"/>
                <w:sz w:val="21"/>
                <w:szCs w:val="21"/>
                <w:lang w:val="en-US" w:eastAsia="zh-CN"/>
              </w:rPr>
              <w:t>采用埋地卧式SF双层储罐，油罐区需设置油品泄漏检测装置</w:t>
            </w:r>
            <w:r>
              <w:rPr>
                <w:rFonts w:hint="eastAsia" w:ascii="Times New Roman" w:hAnsi="Times New Roman" w:eastAsia="宋体" w:cs="Times New Roman"/>
                <w:bCs/>
                <w:color w:val="auto"/>
                <w:sz w:val="21"/>
                <w:szCs w:val="21"/>
                <w:lang w:val="en-US" w:eastAsia="zh-CN"/>
              </w:rPr>
              <w:t>，</w:t>
            </w:r>
            <w:r>
              <w:rPr>
                <w:rFonts w:hint="default" w:ascii="Times New Roman" w:hAnsi="Times New Roman" w:eastAsia="宋体" w:cs="Times New Roman"/>
                <w:bCs/>
                <w:color w:val="auto"/>
                <w:sz w:val="21"/>
                <w:szCs w:val="21"/>
                <w:lang w:val="en-US" w:eastAsia="zh-CN"/>
              </w:rPr>
              <w:t>重点防渗区，即油罐区施工应符合</w:t>
            </w:r>
            <w:r>
              <w:rPr>
                <w:rFonts w:hint="eastAsia" w:ascii="Times New Roman" w:hAnsi="Times New Roman" w:eastAsia="宋体" w:cs="Times New Roman"/>
                <w:bCs/>
                <w:color w:val="auto"/>
                <w:sz w:val="21"/>
                <w:szCs w:val="21"/>
                <w:lang w:val="en-US" w:eastAsia="zh-CN"/>
              </w:rPr>
              <w:t>等效黏土防渗层Mb</w:t>
            </w:r>
            <w:r>
              <w:rPr>
                <w:rFonts w:hint="default" w:ascii="Times New Roman" w:hAnsi="Times New Roman" w:eastAsia="宋体" w:cs="Times New Roman"/>
                <w:bCs/>
                <w:color w:val="auto"/>
                <w:sz w:val="21"/>
                <w:szCs w:val="21"/>
                <w:lang w:val="en-US" w:eastAsia="zh-CN"/>
              </w:rPr>
              <w:t>≥</w:t>
            </w:r>
            <w:r>
              <w:rPr>
                <w:rFonts w:hint="eastAsia" w:ascii="Times New Roman" w:hAnsi="Times New Roman" w:eastAsia="宋体" w:cs="Times New Roman"/>
                <w:bCs/>
                <w:color w:val="auto"/>
                <w:sz w:val="21"/>
                <w:szCs w:val="21"/>
                <w:lang w:val="en-US" w:eastAsia="zh-CN"/>
              </w:rPr>
              <w:t>6.0m，</w:t>
            </w:r>
            <w:r>
              <w:rPr>
                <w:rFonts w:hint="default" w:ascii="Times New Roman" w:hAnsi="Times New Roman" w:eastAsia="宋体" w:cs="Times New Roman"/>
                <w:bCs/>
                <w:color w:val="auto"/>
                <w:sz w:val="21"/>
                <w:szCs w:val="21"/>
                <w:lang w:val="en-US" w:eastAsia="zh-CN"/>
              </w:rPr>
              <w:t>渗透系数≤10-</w:t>
            </w:r>
            <w:r>
              <w:rPr>
                <w:rFonts w:hint="eastAsia" w:ascii="Times New Roman" w:hAnsi="Times New Roman" w:eastAsia="宋体" w:cs="Times New Roman"/>
                <w:bCs/>
                <w:color w:val="auto"/>
                <w:sz w:val="21"/>
                <w:szCs w:val="21"/>
                <w:lang w:val="en-US" w:eastAsia="zh-CN"/>
              </w:rPr>
              <w:t>7</w:t>
            </w:r>
            <w:r>
              <w:rPr>
                <w:rFonts w:hint="default" w:ascii="Times New Roman" w:hAnsi="Times New Roman" w:eastAsia="宋体" w:cs="Times New Roman"/>
                <w:bCs/>
                <w:color w:val="auto"/>
                <w:sz w:val="21"/>
                <w:szCs w:val="21"/>
                <w:lang w:val="en-US" w:eastAsia="zh-CN"/>
              </w:rPr>
              <w:t>cm/s。</w:t>
            </w:r>
          </w:p>
          <w:p>
            <w:pPr>
              <w:adjustRightInd w:val="0"/>
              <w:snapToGrid w:val="0"/>
              <w:ind w:firstLine="452" w:firstLineChars="200"/>
              <w:jc w:val="left"/>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设置一座地下水跟踪监测井</w:t>
            </w:r>
            <w:r>
              <w:rPr>
                <w:rFonts w:hint="eastAsia" w:cs="Times New Roman"/>
                <w:bCs/>
                <w:color w:val="auto"/>
                <w:sz w:val="21"/>
                <w:szCs w:val="21"/>
                <w:lang w:val="en-US" w:eastAsia="zh-CN"/>
              </w:rPr>
              <w:t>，按计划进行跟踪监测。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724" w:type="pct"/>
            <w:tcBorders>
              <w:tl2br w:val="nil"/>
              <w:tr2bl w:val="nil"/>
            </w:tcBorders>
            <w:vAlign w:val="center"/>
          </w:tcPr>
          <w:p>
            <w:pPr>
              <w:adjustRightInd w:val="0"/>
              <w:snapToGrid w:val="0"/>
              <w:jc w:val="center"/>
              <w:rPr>
                <w:b/>
                <w:bCs/>
                <w:color w:val="auto"/>
                <w:sz w:val="21"/>
                <w:szCs w:val="21"/>
              </w:rPr>
            </w:pPr>
            <w:r>
              <w:rPr>
                <w:b/>
                <w:bCs/>
                <w:color w:val="auto"/>
                <w:sz w:val="21"/>
                <w:szCs w:val="21"/>
              </w:rPr>
              <w:t>生态保护</w:t>
            </w:r>
          </w:p>
          <w:p>
            <w:pPr>
              <w:adjustRightInd w:val="0"/>
              <w:snapToGrid w:val="0"/>
              <w:jc w:val="center"/>
              <w:rPr>
                <w:b/>
                <w:bCs/>
                <w:color w:val="auto"/>
                <w:sz w:val="21"/>
                <w:szCs w:val="21"/>
              </w:rPr>
            </w:pPr>
            <w:r>
              <w:rPr>
                <w:b/>
                <w:bCs/>
                <w:color w:val="auto"/>
                <w:sz w:val="21"/>
                <w:szCs w:val="21"/>
              </w:rPr>
              <w:t>措施</w:t>
            </w:r>
          </w:p>
        </w:tc>
        <w:tc>
          <w:tcPr>
            <w:tcW w:w="4275" w:type="pct"/>
            <w:gridSpan w:val="5"/>
            <w:tcBorders>
              <w:tl2br w:val="nil"/>
              <w:tr2bl w:val="nil"/>
            </w:tcBorders>
            <w:vAlign w:val="center"/>
          </w:tcPr>
          <w:p>
            <w:pPr>
              <w:jc w:val="center"/>
              <w:rPr>
                <w:rFonts w:hint="eastAsia" w:eastAsia="宋体"/>
                <w:color w:val="auto"/>
                <w:sz w:val="21"/>
                <w:szCs w:val="21"/>
                <w:lang w:val="en-US" w:eastAsia="zh-CN"/>
              </w:rPr>
            </w:pPr>
            <w:r>
              <w:rPr>
                <w:rFonts w:hint="eastAsia"/>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724" w:type="pct"/>
            <w:vMerge w:val="restart"/>
            <w:tcBorders>
              <w:tl2br w:val="nil"/>
              <w:tr2bl w:val="nil"/>
            </w:tcBorders>
            <w:vAlign w:val="center"/>
          </w:tcPr>
          <w:p>
            <w:pPr>
              <w:adjustRightInd w:val="0"/>
              <w:snapToGrid w:val="0"/>
              <w:jc w:val="center"/>
              <w:rPr>
                <w:b/>
                <w:bCs/>
                <w:color w:val="auto"/>
                <w:sz w:val="21"/>
                <w:szCs w:val="21"/>
              </w:rPr>
            </w:pPr>
            <w:r>
              <w:rPr>
                <w:b/>
                <w:bCs/>
                <w:color w:val="auto"/>
                <w:sz w:val="21"/>
                <w:szCs w:val="21"/>
              </w:rPr>
              <w:t>环境风险防范措施</w:t>
            </w:r>
          </w:p>
        </w:tc>
        <w:tc>
          <w:tcPr>
            <w:tcW w:w="966" w:type="pct"/>
            <w:gridSpan w:val="2"/>
            <w:tcBorders>
              <w:tl2br w:val="nil"/>
              <w:tr2bl w:val="nil"/>
            </w:tcBorders>
            <w:vAlign w:val="center"/>
          </w:tcPr>
          <w:p>
            <w:pPr>
              <w:pStyle w:val="77"/>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大气环境风险防范措施</w:t>
            </w:r>
          </w:p>
        </w:tc>
        <w:tc>
          <w:tcPr>
            <w:tcW w:w="3309" w:type="pct"/>
            <w:gridSpan w:val="3"/>
            <w:tcBorders>
              <w:tl2br w:val="nil"/>
              <w:tr2bl w:val="nil"/>
            </w:tcBorders>
            <w:vAlign w:val="center"/>
          </w:tcPr>
          <w:p>
            <w:pPr>
              <w:pStyle w:val="77"/>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430" w:firstLineChars="20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w w:val="95"/>
                <w:sz w:val="21"/>
                <w:szCs w:val="21"/>
              </w:rPr>
              <w:t>项目非甲烷总烃无组织排放厂界无超标点，在发生泄漏事故时，应及时组织人群转移，以减少对人群的</w:t>
            </w:r>
            <w:r>
              <w:rPr>
                <w:rFonts w:hint="default" w:ascii="Times New Roman" w:hAnsi="Times New Roman" w:eastAsia="宋体" w:cs="Times New Roman"/>
                <w:color w:val="auto"/>
                <w:sz w:val="21"/>
                <w:szCs w:val="21"/>
              </w:rPr>
              <w:t>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724" w:type="pct"/>
            <w:vMerge w:val="continue"/>
            <w:tcBorders>
              <w:tl2br w:val="nil"/>
              <w:tr2bl w:val="nil"/>
            </w:tcBorders>
            <w:vAlign w:val="center"/>
          </w:tcPr>
          <w:p>
            <w:pPr>
              <w:pStyle w:val="43"/>
              <w:ind w:firstLine="454"/>
              <w:rPr>
                <w:color w:val="auto"/>
                <w:sz w:val="21"/>
                <w:szCs w:val="21"/>
              </w:rPr>
            </w:pPr>
          </w:p>
        </w:tc>
        <w:tc>
          <w:tcPr>
            <w:tcW w:w="966" w:type="pct"/>
            <w:gridSpan w:val="2"/>
            <w:tcBorders>
              <w:tl2br w:val="nil"/>
              <w:tr2bl w:val="nil"/>
            </w:tcBorders>
            <w:vAlign w:val="center"/>
          </w:tcPr>
          <w:p>
            <w:pPr>
              <w:pStyle w:val="77"/>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水环境风险防范措施</w:t>
            </w:r>
          </w:p>
        </w:tc>
        <w:tc>
          <w:tcPr>
            <w:tcW w:w="3309" w:type="pct"/>
            <w:gridSpan w:val="3"/>
            <w:tcBorders>
              <w:tl2br w:val="nil"/>
              <w:tr2bl w:val="nil"/>
            </w:tcBorders>
            <w:vAlign w:val="center"/>
          </w:tcPr>
          <w:p>
            <w:pPr>
              <w:pStyle w:val="77"/>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452" w:firstLineChars="20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项目采用双层油罐进行防渗，表面采用混凝土硬化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724" w:type="pct"/>
            <w:vMerge w:val="continue"/>
            <w:tcBorders>
              <w:tl2br w:val="nil"/>
              <w:tr2bl w:val="nil"/>
            </w:tcBorders>
            <w:vAlign w:val="center"/>
          </w:tcPr>
          <w:p>
            <w:pPr>
              <w:pStyle w:val="43"/>
              <w:ind w:firstLine="454"/>
              <w:rPr>
                <w:color w:val="auto"/>
                <w:sz w:val="21"/>
                <w:szCs w:val="21"/>
              </w:rPr>
            </w:pPr>
          </w:p>
        </w:tc>
        <w:tc>
          <w:tcPr>
            <w:tcW w:w="966" w:type="pct"/>
            <w:gridSpan w:val="2"/>
            <w:tcBorders>
              <w:tl2br w:val="nil"/>
              <w:tr2bl w:val="nil"/>
            </w:tcBorders>
            <w:vAlign w:val="center"/>
          </w:tcPr>
          <w:p>
            <w:pPr>
              <w:pStyle w:val="77"/>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防火防爆措施</w:t>
            </w:r>
          </w:p>
        </w:tc>
        <w:tc>
          <w:tcPr>
            <w:tcW w:w="3309" w:type="pct"/>
            <w:gridSpan w:val="3"/>
            <w:tcBorders>
              <w:tl2br w:val="nil"/>
              <w:tr2bl w:val="nil"/>
            </w:tcBorders>
            <w:vAlign w:val="center"/>
          </w:tcPr>
          <w:p>
            <w:pPr>
              <w:pStyle w:val="77"/>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430" w:firstLineChars="20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w w:val="95"/>
                <w:sz w:val="21"/>
                <w:szCs w:val="21"/>
              </w:rPr>
              <w:t>从总平面布置、工艺、自动控制、建/构筑物防火、电气防火、消</w:t>
            </w:r>
            <w:r>
              <w:rPr>
                <w:rFonts w:hint="default" w:ascii="Times New Roman" w:hAnsi="Times New Roman" w:eastAsia="宋体" w:cs="Times New Roman"/>
                <w:color w:val="auto"/>
                <w:sz w:val="21"/>
                <w:szCs w:val="21"/>
              </w:rPr>
              <w:t>防系统、设备泄压等方面采取防火、防爆控制措施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24" w:type="pct"/>
            <w:vMerge w:val="continue"/>
            <w:tcBorders>
              <w:tl2br w:val="nil"/>
              <w:tr2bl w:val="nil"/>
            </w:tcBorders>
            <w:vAlign w:val="center"/>
          </w:tcPr>
          <w:p>
            <w:pPr>
              <w:pStyle w:val="43"/>
              <w:ind w:firstLine="454"/>
              <w:rPr>
                <w:color w:val="auto"/>
                <w:sz w:val="21"/>
                <w:szCs w:val="21"/>
              </w:rPr>
            </w:pPr>
          </w:p>
        </w:tc>
        <w:tc>
          <w:tcPr>
            <w:tcW w:w="966" w:type="pct"/>
            <w:gridSpan w:val="2"/>
            <w:tcBorders>
              <w:tl2br w:val="nil"/>
              <w:tr2bl w:val="nil"/>
            </w:tcBorders>
            <w:vAlign w:val="center"/>
          </w:tcPr>
          <w:p>
            <w:pPr>
              <w:pStyle w:val="77"/>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自动报警系统</w:t>
            </w:r>
          </w:p>
        </w:tc>
        <w:tc>
          <w:tcPr>
            <w:tcW w:w="3309" w:type="pct"/>
            <w:gridSpan w:val="3"/>
            <w:tcBorders>
              <w:tl2br w:val="nil"/>
              <w:tr2bl w:val="nil"/>
            </w:tcBorders>
            <w:vAlign w:val="center"/>
          </w:tcPr>
          <w:p>
            <w:pPr>
              <w:pStyle w:val="77"/>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430" w:firstLineChars="20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w w:val="95"/>
                <w:sz w:val="21"/>
                <w:szCs w:val="21"/>
              </w:rPr>
              <w:t>安装可燃、有毒气体检测报警盘、火灾报警盘，一旦发生泄漏，</w:t>
            </w:r>
            <w:r>
              <w:rPr>
                <w:rFonts w:hint="default" w:ascii="Times New Roman" w:hAnsi="Times New Roman" w:eastAsia="宋体" w:cs="Times New Roman"/>
                <w:color w:val="auto"/>
                <w:sz w:val="21"/>
                <w:szCs w:val="21"/>
              </w:rPr>
              <w:t>系统自动报警，并立即采取措施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724" w:type="pct"/>
            <w:vMerge w:val="continue"/>
            <w:tcBorders>
              <w:tl2br w:val="nil"/>
              <w:tr2bl w:val="nil"/>
            </w:tcBorders>
            <w:vAlign w:val="center"/>
          </w:tcPr>
          <w:p>
            <w:pPr>
              <w:pStyle w:val="43"/>
              <w:ind w:firstLine="454"/>
              <w:rPr>
                <w:color w:val="auto"/>
                <w:sz w:val="21"/>
                <w:szCs w:val="21"/>
              </w:rPr>
            </w:pPr>
          </w:p>
        </w:tc>
        <w:tc>
          <w:tcPr>
            <w:tcW w:w="966" w:type="pct"/>
            <w:gridSpan w:val="2"/>
            <w:tcBorders>
              <w:tl2br w:val="nil"/>
              <w:tr2bl w:val="nil"/>
            </w:tcBorders>
            <w:vAlign w:val="center"/>
          </w:tcPr>
          <w:p>
            <w:pPr>
              <w:pStyle w:val="77"/>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安全管理措施</w:t>
            </w:r>
          </w:p>
        </w:tc>
        <w:tc>
          <w:tcPr>
            <w:tcW w:w="3309" w:type="pct"/>
            <w:gridSpan w:val="3"/>
            <w:tcBorders>
              <w:tl2br w:val="nil"/>
              <w:tr2bl w:val="nil"/>
            </w:tcBorders>
            <w:vAlign w:val="center"/>
          </w:tcPr>
          <w:p>
            <w:pPr>
              <w:pStyle w:val="77"/>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430" w:firstLineChars="20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w w:val="95"/>
                <w:sz w:val="21"/>
                <w:szCs w:val="21"/>
              </w:rPr>
              <w:t>设置安管机构，建立安全管理制度，加强人员培训，预防安</w:t>
            </w:r>
            <w:r>
              <w:rPr>
                <w:rFonts w:hint="default" w:ascii="Times New Roman" w:hAnsi="Times New Roman" w:eastAsia="宋体" w:cs="Times New Roman"/>
                <w:color w:val="auto"/>
                <w:sz w:val="21"/>
                <w:szCs w:val="21"/>
              </w:rPr>
              <w:t>全事故发生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724" w:type="pct"/>
            <w:vMerge w:val="continue"/>
            <w:tcBorders>
              <w:tl2br w:val="nil"/>
              <w:tr2bl w:val="nil"/>
            </w:tcBorders>
            <w:vAlign w:val="center"/>
          </w:tcPr>
          <w:p>
            <w:pPr>
              <w:pStyle w:val="43"/>
              <w:ind w:firstLine="454"/>
              <w:rPr>
                <w:color w:val="auto"/>
                <w:sz w:val="21"/>
                <w:szCs w:val="21"/>
              </w:rPr>
            </w:pPr>
          </w:p>
        </w:tc>
        <w:tc>
          <w:tcPr>
            <w:tcW w:w="966" w:type="pct"/>
            <w:gridSpan w:val="2"/>
            <w:tcBorders>
              <w:tl2br w:val="nil"/>
              <w:tr2bl w:val="nil"/>
            </w:tcBorders>
            <w:vAlign w:val="center"/>
          </w:tcPr>
          <w:p>
            <w:pPr>
              <w:pStyle w:val="77"/>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应急预案</w:t>
            </w:r>
          </w:p>
        </w:tc>
        <w:tc>
          <w:tcPr>
            <w:tcW w:w="3309" w:type="pct"/>
            <w:gridSpan w:val="3"/>
            <w:tcBorders>
              <w:tl2br w:val="nil"/>
              <w:tr2bl w:val="nil"/>
            </w:tcBorders>
            <w:vAlign w:val="center"/>
          </w:tcPr>
          <w:p>
            <w:pPr>
              <w:pStyle w:val="77"/>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452" w:firstLineChars="20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制定突发环境事件应急预案，从组织机构、救援保障、报警通讯应急监测及救护保障、应急处理措施、事故原因调查分析等方面制定严格的制度，并定期组织培训、演练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24" w:type="pct"/>
            <w:vMerge w:val="continue"/>
            <w:tcBorders>
              <w:tl2br w:val="nil"/>
              <w:tr2bl w:val="nil"/>
            </w:tcBorders>
            <w:vAlign w:val="center"/>
          </w:tcPr>
          <w:p>
            <w:pPr>
              <w:pStyle w:val="43"/>
              <w:ind w:firstLine="454"/>
              <w:rPr>
                <w:color w:val="auto"/>
                <w:sz w:val="21"/>
                <w:szCs w:val="21"/>
              </w:rPr>
            </w:pPr>
          </w:p>
        </w:tc>
        <w:tc>
          <w:tcPr>
            <w:tcW w:w="966" w:type="pct"/>
            <w:gridSpan w:val="2"/>
            <w:tcBorders>
              <w:tl2br w:val="nil"/>
              <w:tr2bl w:val="nil"/>
            </w:tcBorders>
            <w:vAlign w:val="center"/>
          </w:tcPr>
          <w:p>
            <w:pPr>
              <w:pStyle w:val="77"/>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应急监测</w:t>
            </w:r>
          </w:p>
        </w:tc>
        <w:tc>
          <w:tcPr>
            <w:tcW w:w="3309" w:type="pct"/>
            <w:gridSpan w:val="3"/>
            <w:tcBorders>
              <w:tl2br w:val="nil"/>
              <w:tr2bl w:val="nil"/>
            </w:tcBorders>
            <w:vAlign w:val="center"/>
          </w:tcPr>
          <w:p>
            <w:pPr>
              <w:pStyle w:val="77"/>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包括大气环境应急监测、水环境应急监测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724" w:type="pct"/>
            <w:tcBorders>
              <w:tl2br w:val="nil"/>
              <w:tr2bl w:val="nil"/>
            </w:tcBorders>
            <w:vAlign w:val="center"/>
          </w:tcPr>
          <w:p>
            <w:pPr>
              <w:adjustRightInd w:val="0"/>
              <w:snapToGrid w:val="0"/>
              <w:jc w:val="center"/>
              <w:rPr>
                <w:b/>
                <w:bCs/>
                <w:color w:val="auto"/>
                <w:sz w:val="21"/>
                <w:szCs w:val="21"/>
              </w:rPr>
            </w:pPr>
            <w:r>
              <w:rPr>
                <w:b/>
                <w:bCs/>
                <w:color w:val="auto"/>
                <w:sz w:val="21"/>
                <w:szCs w:val="21"/>
              </w:rPr>
              <w:t>其他环境管理要求</w:t>
            </w:r>
          </w:p>
        </w:tc>
        <w:tc>
          <w:tcPr>
            <w:tcW w:w="4275" w:type="pct"/>
            <w:gridSpan w:val="5"/>
            <w:tcBorders>
              <w:tl2br w:val="nil"/>
              <w:tr2bl w:val="nil"/>
            </w:tcBorders>
            <w:vAlign w:val="center"/>
          </w:tcPr>
          <w:p>
            <w:pPr>
              <w:jc w:val="center"/>
              <w:rPr>
                <w:color w:val="auto"/>
                <w:sz w:val="21"/>
                <w:szCs w:val="21"/>
              </w:rPr>
            </w:pPr>
            <w:r>
              <w:rPr>
                <w:rFonts w:hint="eastAsia"/>
                <w:color w:val="auto"/>
                <w:sz w:val="21"/>
                <w:szCs w:val="21"/>
                <w:lang w:val="en-US" w:eastAsia="zh-CN"/>
              </w:rPr>
              <w:t>/</w:t>
            </w:r>
          </w:p>
        </w:tc>
      </w:tr>
    </w:tbl>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六、结论</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48" w:hRule="atLeast"/>
          <w:jc w:val="center"/>
        </w:trPr>
        <w:tc>
          <w:tcPr>
            <w:tcW w:w="9209" w:type="dxa"/>
          </w:tcPr>
          <w:p>
            <w:pPr>
              <w:pStyle w:val="43"/>
              <w:ind w:firstLine="514"/>
              <w:rPr>
                <w:color w:val="auto"/>
                <w:sz w:val="24"/>
                <w:szCs w:val="24"/>
              </w:rPr>
            </w:pPr>
            <w:r>
              <w:rPr>
                <w:rFonts w:hint="eastAsia"/>
                <w:color w:val="auto"/>
                <w:sz w:val="24"/>
                <w:szCs w:val="24"/>
              </w:rPr>
              <w:t>综上所述，项目建设符合国家产业政策及“三线一单”环境管理要求，选址可行</w:t>
            </w:r>
            <w:r>
              <w:rPr>
                <w:rFonts w:hint="eastAsia"/>
                <w:color w:val="auto"/>
                <w:sz w:val="24"/>
                <w:szCs w:val="24"/>
                <w:lang w:eastAsia="zh-CN"/>
              </w:rPr>
              <w:t>，</w:t>
            </w:r>
            <w:r>
              <w:rPr>
                <w:rFonts w:hint="eastAsia"/>
                <w:color w:val="auto"/>
                <w:sz w:val="24"/>
                <w:szCs w:val="24"/>
              </w:rPr>
              <w:t>符合国家产业政策，项目厂区平面布局合理，在项目建设及运行时，只要充分落实本报告中所提出的建议以及各项污染防治对策，从环保角度而言，本项目实施可行。</w:t>
            </w:r>
          </w:p>
          <w:p>
            <w:pPr>
              <w:pStyle w:val="32"/>
              <w:jc w:val="both"/>
              <w:rPr>
                <w:rFonts w:ascii="Times New Roman" w:hAnsi="Times New Roman" w:cs="Times New Roman"/>
                <w:color w:val="auto"/>
              </w:rPr>
            </w:pPr>
          </w:p>
          <w:p>
            <w:pPr>
              <w:rPr>
                <w:color w:val="auto"/>
              </w:rPr>
            </w:pPr>
          </w:p>
          <w:p>
            <w:pPr>
              <w:rPr>
                <w:color w:val="auto"/>
              </w:rPr>
            </w:pPr>
          </w:p>
          <w:p>
            <w:pPr>
              <w:rPr>
                <w:color w:val="auto"/>
              </w:rPr>
            </w:pPr>
          </w:p>
          <w:p>
            <w:pPr>
              <w:pStyle w:val="32"/>
              <w:jc w:val="both"/>
              <w:rPr>
                <w:rFonts w:ascii="Times New Roman" w:hAnsi="Times New Roman" w:cs="Times New Roman"/>
                <w:color w:val="auto"/>
              </w:rPr>
            </w:pPr>
          </w:p>
          <w:p>
            <w:pPr>
              <w:rPr>
                <w:color w:val="auto"/>
              </w:rPr>
            </w:pPr>
          </w:p>
          <w:p>
            <w:pPr>
              <w:pStyle w:val="32"/>
              <w:jc w:val="both"/>
              <w:rPr>
                <w:rFonts w:ascii="Times New Roman" w:hAnsi="Times New Roman" w:cs="Times New Roman"/>
                <w:color w:val="auto"/>
              </w:rPr>
            </w:pPr>
          </w:p>
          <w:p>
            <w:pPr>
              <w:rPr>
                <w:color w:val="auto"/>
              </w:rPr>
            </w:pPr>
          </w:p>
          <w:p>
            <w:pPr>
              <w:pStyle w:val="32"/>
              <w:jc w:val="both"/>
              <w:rPr>
                <w:rFonts w:ascii="Times New Roman" w:hAnsi="Times New Roman" w:cs="Times New Roman"/>
                <w:color w:val="auto"/>
              </w:rPr>
            </w:pPr>
          </w:p>
          <w:p>
            <w:pPr>
              <w:rPr>
                <w:color w:val="auto"/>
              </w:rPr>
            </w:pPr>
          </w:p>
          <w:p>
            <w:pPr>
              <w:pStyle w:val="32"/>
              <w:jc w:val="both"/>
              <w:rPr>
                <w:rFonts w:ascii="Times New Roman" w:hAnsi="Times New Roman" w:cs="Times New Roman"/>
                <w:color w:val="auto"/>
              </w:rPr>
            </w:pPr>
          </w:p>
          <w:p>
            <w:pPr>
              <w:rPr>
                <w:color w:val="auto"/>
              </w:rPr>
            </w:pPr>
          </w:p>
          <w:p>
            <w:pPr>
              <w:pStyle w:val="32"/>
              <w:jc w:val="both"/>
              <w:rPr>
                <w:rFonts w:ascii="Times New Roman" w:hAnsi="Times New Roman" w:cs="Times New Roman"/>
                <w:color w:val="auto"/>
              </w:rPr>
            </w:pPr>
          </w:p>
          <w:p>
            <w:pPr>
              <w:rPr>
                <w:color w:val="auto"/>
              </w:rPr>
            </w:pPr>
          </w:p>
          <w:p>
            <w:pPr>
              <w:pStyle w:val="32"/>
              <w:jc w:val="both"/>
              <w:rPr>
                <w:rFonts w:ascii="Times New Roman" w:hAnsi="Times New Roman" w:cs="Times New Roman"/>
                <w:color w:val="auto"/>
              </w:rPr>
            </w:pPr>
          </w:p>
          <w:p>
            <w:pPr>
              <w:rPr>
                <w:color w:val="auto"/>
              </w:rPr>
            </w:pPr>
          </w:p>
          <w:p>
            <w:pPr>
              <w:pStyle w:val="32"/>
              <w:jc w:val="both"/>
              <w:rPr>
                <w:rFonts w:ascii="Times New Roman" w:hAnsi="Times New Roman" w:cs="Times New Roman"/>
                <w:color w:val="auto"/>
              </w:rPr>
            </w:pPr>
          </w:p>
          <w:p>
            <w:pPr>
              <w:rPr>
                <w:color w:val="auto"/>
              </w:rPr>
            </w:pPr>
          </w:p>
          <w:p>
            <w:pPr>
              <w:pStyle w:val="32"/>
              <w:jc w:val="both"/>
              <w:rPr>
                <w:rFonts w:ascii="Times New Roman" w:hAnsi="Times New Roman" w:cs="Times New Roman"/>
                <w:color w:val="auto"/>
              </w:rPr>
            </w:pPr>
          </w:p>
          <w:p>
            <w:pPr>
              <w:rPr>
                <w:color w:val="auto"/>
              </w:rPr>
            </w:pPr>
          </w:p>
          <w:p>
            <w:pPr>
              <w:pStyle w:val="32"/>
              <w:rPr>
                <w:color w:val="auto"/>
              </w:rPr>
            </w:pPr>
          </w:p>
        </w:tc>
      </w:tr>
    </w:tbl>
    <w:p>
      <w:pPr>
        <w:pStyle w:val="32"/>
        <w:jc w:val="both"/>
        <w:rPr>
          <w:rFonts w:ascii="Times New Roman" w:hAnsi="Times New Roman" w:cs="Times New Roman"/>
          <w:color w:val="auto"/>
        </w:rPr>
        <w:sectPr>
          <w:pgSz w:w="11905" w:h="16838"/>
          <w:pgMar w:top="1417" w:right="1417" w:bottom="1417" w:left="1417" w:header="851" w:footer="964" w:gutter="0"/>
          <w:pgBorders>
            <w:top w:val="none" w:sz="0" w:space="0"/>
            <w:left w:val="none" w:sz="0" w:space="0"/>
            <w:bottom w:val="none" w:sz="0" w:space="0"/>
            <w:right w:val="none" w:sz="0" w:space="0"/>
          </w:pgBorders>
          <w:cols w:space="720" w:num="1"/>
          <w:docGrid w:type="linesAndChars" w:linePitch="466" w:charSpace="3435"/>
        </w:sectPr>
      </w:pPr>
    </w:p>
    <w:p>
      <w:pPr>
        <w:pStyle w:val="22"/>
        <w:adjustRightInd w:val="0"/>
        <w:snapToGrid w:val="0"/>
        <w:spacing w:before="0" w:beforeAutospacing="0" w:after="0" w:afterAutospacing="0"/>
        <w:outlineLvl w:val="0"/>
        <w:rPr>
          <w:rFonts w:ascii="Times New Roman" w:hAnsi="Times New Roman" w:eastAsia="黑体"/>
          <w:snapToGrid w:val="0"/>
          <w:color w:val="auto"/>
          <w:sz w:val="32"/>
          <w:szCs w:val="32"/>
        </w:rPr>
      </w:pPr>
      <w:r>
        <w:rPr>
          <w:rFonts w:ascii="Times New Roman" w:hAnsi="Times New Roman" w:eastAsia="黑体"/>
          <w:snapToGrid w:val="0"/>
          <w:color w:val="auto"/>
          <w:sz w:val="32"/>
          <w:szCs w:val="32"/>
        </w:rPr>
        <w:t>附表</w:t>
      </w:r>
    </w:p>
    <w:p>
      <w:pPr>
        <w:pStyle w:val="22"/>
        <w:adjustRightInd w:val="0"/>
        <w:snapToGrid w:val="0"/>
        <w:spacing w:before="0" w:beforeAutospacing="0" w:after="0" w:afterAutospacing="0"/>
        <w:outlineLvl w:val="0"/>
        <w:rPr>
          <w:rFonts w:ascii="Times New Roman" w:hAnsi="Times New Roman" w:eastAsia="黑体"/>
          <w:snapToGrid w:val="0"/>
          <w:color w:val="auto"/>
          <w:sz w:val="32"/>
          <w:szCs w:val="32"/>
        </w:rPr>
      </w:pPr>
      <w:r>
        <w:rPr>
          <w:rFonts w:hint="eastAsia" w:ascii="Times New Roman" w:hAnsi="Times New Roman" w:eastAsia="方正小标宋_GBK"/>
          <w:snapToGrid w:val="0"/>
          <w:color w:val="auto"/>
          <w:sz w:val="38"/>
          <w:szCs w:val="38"/>
        </w:rPr>
        <w:t>建设项目污染物排放量汇总表</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25"/>
        <w:gridCol w:w="1484"/>
        <w:gridCol w:w="1609"/>
        <w:gridCol w:w="1173"/>
        <w:gridCol w:w="1609"/>
        <w:gridCol w:w="1663"/>
        <w:gridCol w:w="1956"/>
        <w:gridCol w:w="1683"/>
        <w:gridCol w:w="15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325" w:type="dxa"/>
            <w:tcBorders>
              <w:top w:val="single" w:color="auto" w:sz="12" w:space="0"/>
              <w:left w:val="single" w:color="auto" w:sz="12" w:space="0"/>
              <w:bottom w:val="single" w:color="auto" w:sz="4" w:space="0"/>
              <w:right w:val="single" w:color="auto" w:sz="4" w:space="0"/>
              <w:tl2br w:val="single" w:color="auto" w:sz="4" w:space="0"/>
            </w:tcBorders>
            <w:tcMar>
              <w:top w:w="0" w:type="dxa"/>
              <w:left w:w="28" w:type="dxa"/>
              <w:bottom w:w="0" w:type="dxa"/>
              <w:right w:w="28" w:type="dxa"/>
            </w:tcMar>
            <w:vAlign w:val="center"/>
          </w:tcPr>
          <w:p>
            <w:pPr>
              <w:pStyle w:val="47"/>
              <w:adjustRightInd/>
              <w:spacing w:before="46" w:after="46" w:line="240" w:lineRule="auto"/>
              <w:jc w:val="right"/>
              <w:rPr>
                <w:rFonts w:ascii="Times New Roman"/>
                <w:b/>
                <w:bCs/>
                <w:snapToGrid w:val="0"/>
                <w:color w:val="auto"/>
                <w:kern w:val="21"/>
                <w:szCs w:val="21"/>
              </w:rPr>
            </w:pPr>
            <w:r>
              <w:rPr>
                <w:rFonts w:hint="eastAsia" w:ascii="Times New Roman"/>
                <w:b/>
                <w:bCs/>
                <w:snapToGrid w:val="0"/>
                <w:color w:val="auto"/>
                <w:kern w:val="21"/>
                <w:szCs w:val="21"/>
              </w:rPr>
              <w:t>项目</w:t>
            </w:r>
          </w:p>
          <w:p>
            <w:pPr>
              <w:pStyle w:val="47"/>
              <w:adjustRightInd/>
              <w:spacing w:before="46" w:after="46" w:line="240" w:lineRule="auto"/>
              <w:jc w:val="left"/>
              <w:rPr>
                <w:rFonts w:ascii="Times New Roman"/>
                <w:b/>
                <w:bCs/>
                <w:snapToGrid w:val="0"/>
                <w:color w:val="auto"/>
                <w:kern w:val="21"/>
                <w:szCs w:val="21"/>
              </w:rPr>
            </w:pPr>
            <w:r>
              <w:rPr>
                <w:rFonts w:hint="eastAsia" w:ascii="Times New Roman"/>
                <w:b/>
                <w:bCs/>
                <w:snapToGrid w:val="0"/>
                <w:color w:val="auto"/>
                <w:kern w:val="21"/>
                <w:szCs w:val="21"/>
              </w:rPr>
              <w:t>分类</w:t>
            </w:r>
          </w:p>
        </w:tc>
        <w:tc>
          <w:tcPr>
            <w:tcW w:w="1484" w:type="dxa"/>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47"/>
              <w:adjustRightInd/>
              <w:spacing w:before="46" w:after="46" w:line="240" w:lineRule="auto"/>
              <w:rPr>
                <w:rFonts w:ascii="Times New Roman"/>
                <w:b/>
                <w:bCs/>
                <w:snapToGrid w:val="0"/>
                <w:color w:val="auto"/>
                <w:kern w:val="21"/>
                <w:szCs w:val="21"/>
              </w:rPr>
            </w:pPr>
            <w:r>
              <w:rPr>
                <w:rFonts w:hint="eastAsia" w:ascii="Times New Roman"/>
                <w:b/>
                <w:bCs/>
                <w:snapToGrid w:val="0"/>
                <w:color w:val="auto"/>
                <w:kern w:val="21"/>
                <w:szCs w:val="21"/>
              </w:rPr>
              <w:t>污染物名称</w:t>
            </w:r>
          </w:p>
        </w:tc>
        <w:tc>
          <w:tcPr>
            <w:tcW w:w="1609" w:type="dxa"/>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47"/>
              <w:adjustRightInd/>
              <w:spacing w:before="46" w:after="46" w:line="240" w:lineRule="auto"/>
              <w:rPr>
                <w:rFonts w:ascii="Times New Roman"/>
                <w:b/>
                <w:bCs/>
                <w:snapToGrid w:val="0"/>
                <w:color w:val="auto"/>
                <w:kern w:val="21"/>
                <w:szCs w:val="21"/>
              </w:rPr>
            </w:pPr>
            <w:r>
              <w:rPr>
                <w:rFonts w:hint="eastAsia" w:ascii="Times New Roman"/>
                <w:b/>
                <w:bCs/>
                <w:snapToGrid w:val="0"/>
                <w:color w:val="auto"/>
                <w:kern w:val="21"/>
                <w:szCs w:val="21"/>
              </w:rPr>
              <w:t>现有工程排放量（固体废物产生量）</w:t>
            </w:r>
            <w:r>
              <w:rPr>
                <w:rFonts w:ascii="Times New Roman"/>
                <w:b/>
                <w:bCs/>
                <w:snapToGrid w:val="0"/>
                <w:color w:val="auto"/>
                <w:kern w:val="21"/>
                <w:szCs w:val="21"/>
              </w:rPr>
              <w:fldChar w:fldCharType="begin"/>
            </w:r>
            <w:r>
              <w:rPr>
                <w:rFonts w:ascii="Times New Roman"/>
                <w:b/>
                <w:bCs/>
                <w:snapToGrid w:val="0"/>
                <w:color w:val="auto"/>
                <w:kern w:val="21"/>
                <w:szCs w:val="21"/>
              </w:rPr>
              <w:instrText xml:space="preserve"> = 1 \* GB3 \* MERGEFORMAT </w:instrText>
            </w:r>
            <w:r>
              <w:rPr>
                <w:rFonts w:ascii="Times New Roman"/>
                <w:b/>
                <w:bCs/>
                <w:snapToGrid w:val="0"/>
                <w:color w:val="auto"/>
                <w:kern w:val="21"/>
                <w:szCs w:val="21"/>
              </w:rPr>
              <w:fldChar w:fldCharType="separate"/>
            </w:r>
            <w:r>
              <w:rPr>
                <w:rFonts w:hint="eastAsia" w:hAnsi="宋体" w:cs="宋体"/>
                <w:b/>
                <w:bCs/>
                <w:snapToGrid w:val="0"/>
                <w:color w:val="auto"/>
                <w:kern w:val="21"/>
                <w:szCs w:val="21"/>
              </w:rPr>
              <w:t>①</w:t>
            </w:r>
            <w:r>
              <w:rPr>
                <w:rFonts w:ascii="Times New Roman"/>
                <w:b/>
                <w:bCs/>
                <w:snapToGrid w:val="0"/>
                <w:color w:val="auto"/>
                <w:kern w:val="21"/>
                <w:szCs w:val="21"/>
              </w:rPr>
              <w:fldChar w:fldCharType="end"/>
            </w:r>
          </w:p>
        </w:tc>
        <w:tc>
          <w:tcPr>
            <w:tcW w:w="1173" w:type="dxa"/>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47"/>
              <w:adjustRightInd/>
              <w:spacing w:before="46" w:after="46" w:line="240" w:lineRule="auto"/>
              <w:rPr>
                <w:rFonts w:ascii="Times New Roman"/>
                <w:b/>
                <w:bCs/>
                <w:snapToGrid w:val="0"/>
                <w:color w:val="auto"/>
                <w:kern w:val="21"/>
                <w:szCs w:val="21"/>
              </w:rPr>
            </w:pPr>
            <w:r>
              <w:rPr>
                <w:rFonts w:hint="eastAsia" w:ascii="Times New Roman"/>
                <w:b/>
                <w:bCs/>
                <w:snapToGrid w:val="0"/>
                <w:color w:val="auto"/>
                <w:kern w:val="21"/>
                <w:szCs w:val="21"/>
              </w:rPr>
              <w:t>现有工程许可排放量</w:t>
            </w:r>
            <w:r>
              <w:rPr>
                <w:rFonts w:ascii="Times New Roman"/>
                <w:b/>
                <w:bCs/>
                <w:snapToGrid w:val="0"/>
                <w:color w:val="auto"/>
                <w:kern w:val="21"/>
                <w:szCs w:val="21"/>
              </w:rPr>
              <w:fldChar w:fldCharType="begin"/>
            </w:r>
            <w:r>
              <w:rPr>
                <w:rFonts w:ascii="Times New Roman"/>
                <w:b/>
                <w:bCs/>
                <w:snapToGrid w:val="0"/>
                <w:color w:val="auto"/>
                <w:kern w:val="21"/>
                <w:szCs w:val="21"/>
              </w:rPr>
              <w:instrText xml:space="preserve"> = 2 \* GB3 \* MERGEFORMAT </w:instrText>
            </w:r>
            <w:r>
              <w:rPr>
                <w:rFonts w:ascii="Times New Roman"/>
                <w:b/>
                <w:bCs/>
                <w:snapToGrid w:val="0"/>
                <w:color w:val="auto"/>
                <w:kern w:val="21"/>
                <w:szCs w:val="21"/>
              </w:rPr>
              <w:fldChar w:fldCharType="separate"/>
            </w:r>
            <w:r>
              <w:rPr>
                <w:rFonts w:hint="eastAsia" w:hAnsi="宋体" w:cs="宋体"/>
                <w:b/>
                <w:bCs/>
                <w:snapToGrid w:val="0"/>
                <w:color w:val="auto"/>
                <w:kern w:val="21"/>
                <w:szCs w:val="21"/>
              </w:rPr>
              <w:t>②</w:t>
            </w:r>
            <w:r>
              <w:rPr>
                <w:rFonts w:ascii="Times New Roman"/>
                <w:b/>
                <w:bCs/>
                <w:snapToGrid w:val="0"/>
                <w:color w:val="auto"/>
                <w:kern w:val="21"/>
                <w:szCs w:val="21"/>
              </w:rPr>
              <w:fldChar w:fldCharType="end"/>
            </w:r>
          </w:p>
        </w:tc>
        <w:tc>
          <w:tcPr>
            <w:tcW w:w="1609" w:type="dxa"/>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47"/>
              <w:adjustRightInd/>
              <w:spacing w:before="46" w:after="46" w:line="240" w:lineRule="auto"/>
              <w:rPr>
                <w:rFonts w:ascii="Times New Roman"/>
                <w:b/>
                <w:bCs/>
                <w:snapToGrid w:val="0"/>
                <w:color w:val="auto"/>
                <w:kern w:val="21"/>
                <w:szCs w:val="21"/>
              </w:rPr>
            </w:pPr>
            <w:r>
              <w:rPr>
                <w:rFonts w:hint="eastAsia" w:ascii="Times New Roman"/>
                <w:b/>
                <w:bCs/>
                <w:snapToGrid w:val="0"/>
                <w:color w:val="auto"/>
                <w:kern w:val="21"/>
                <w:szCs w:val="21"/>
              </w:rPr>
              <w:t>在建工程排放量（固体废物产生量）</w:t>
            </w:r>
            <w:r>
              <w:rPr>
                <w:rFonts w:ascii="Times New Roman"/>
                <w:b/>
                <w:bCs/>
                <w:snapToGrid w:val="0"/>
                <w:color w:val="auto"/>
                <w:kern w:val="21"/>
                <w:szCs w:val="21"/>
              </w:rPr>
              <w:fldChar w:fldCharType="begin"/>
            </w:r>
            <w:r>
              <w:rPr>
                <w:rFonts w:ascii="Times New Roman"/>
                <w:b/>
                <w:bCs/>
                <w:snapToGrid w:val="0"/>
                <w:color w:val="auto"/>
                <w:kern w:val="21"/>
                <w:szCs w:val="21"/>
              </w:rPr>
              <w:instrText xml:space="preserve"> = 3 \* GB3 \* MERGEFORMAT </w:instrText>
            </w:r>
            <w:r>
              <w:rPr>
                <w:rFonts w:ascii="Times New Roman"/>
                <w:b/>
                <w:bCs/>
                <w:snapToGrid w:val="0"/>
                <w:color w:val="auto"/>
                <w:kern w:val="21"/>
                <w:szCs w:val="21"/>
              </w:rPr>
              <w:fldChar w:fldCharType="separate"/>
            </w:r>
            <w:r>
              <w:rPr>
                <w:rFonts w:hint="eastAsia" w:hAnsi="宋体" w:cs="宋体"/>
                <w:b/>
                <w:bCs/>
                <w:snapToGrid w:val="0"/>
                <w:color w:val="auto"/>
                <w:kern w:val="21"/>
                <w:szCs w:val="21"/>
              </w:rPr>
              <w:t>③</w:t>
            </w:r>
            <w:r>
              <w:rPr>
                <w:rFonts w:ascii="Times New Roman"/>
                <w:b/>
                <w:bCs/>
                <w:snapToGrid w:val="0"/>
                <w:color w:val="auto"/>
                <w:kern w:val="21"/>
                <w:szCs w:val="21"/>
              </w:rPr>
              <w:fldChar w:fldCharType="end"/>
            </w:r>
          </w:p>
        </w:tc>
        <w:tc>
          <w:tcPr>
            <w:tcW w:w="1663" w:type="dxa"/>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47"/>
              <w:adjustRightInd/>
              <w:spacing w:before="46" w:after="46" w:line="240" w:lineRule="auto"/>
              <w:rPr>
                <w:rFonts w:ascii="Times New Roman"/>
                <w:b/>
                <w:bCs/>
                <w:snapToGrid w:val="0"/>
                <w:color w:val="auto"/>
                <w:kern w:val="21"/>
                <w:szCs w:val="21"/>
              </w:rPr>
            </w:pPr>
            <w:r>
              <w:rPr>
                <w:rFonts w:hint="eastAsia" w:ascii="Times New Roman"/>
                <w:b/>
                <w:bCs/>
                <w:snapToGrid w:val="0"/>
                <w:color w:val="auto"/>
                <w:kern w:val="21"/>
                <w:szCs w:val="21"/>
              </w:rPr>
              <w:t>本项目排放量（固体废物产生量）</w:t>
            </w:r>
            <w:r>
              <w:rPr>
                <w:rFonts w:ascii="Times New Roman"/>
                <w:b/>
                <w:bCs/>
                <w:snapToGrid w:val="0"/>
                <w:color w:val="auto"/>
                <w:kern w:val="21"/>
                <w:szCs w:val="21"/>
              </w:rPr>
              <w:fldChar w:fldCharType="begin"/>
            </w:r>
            <w:r>
              <w:rPr>
                <w:rFonts w:ascii="Times New Roman"/>
                <w:b/>
                <w:bCs/>
                <w:snapToGrid w:val="0"/>
                <w:color w:val="auto"/>
                <w:kern w:val="21"/>
                <w:szCs w:val="21"/>
              </w:rPr>
              <w:instrText xml:space="preserve"> = 4 \* GB3 \* MERGEFORMAT </w:instrText>
            </w:r>
            <w:r>
              <w:rPr>
                <w:rFonts w:ascii="Times New Roman"/>
                <w:b/>
                <w:bCs/>
                <w:snapToGrid w:val="0"/>
                <w:color w:val="auto"/>
                <w:kern w:val="21"/>
                <w:szCs w:val="21"/>
              </w:rPr>
              <w:fldChar w:fldCharType="separate"/>
            </w:r>
            <w:r>
              <w:rPr>
                <w:rFonts w:hint="eastAsia" w:hAnsi="宋体" w:cs="宋体"/>
                <w:b/>
                <w:bCs/>
                <w:snapToGrid w:val="0"/>
                <w:color w:val="auto"/>
                <w:kern w:val="21"/>
                <w:szCs w:val="21"/>
              </w:rPr>
              <w:t>④</w:t>
            </w:r>
            <w:r>
              <w:rPr>
                <w:rFonts w:ascii="Times New Roman"/>
                <w:b/>
                <w:bCs/>
                <w:snapToGrid w:val="0"/>
                <w:color w:val="auto"/>
                <w:kern w:val="21"/>
                <w:szCs w:val="21"/>
              </w:rPr>
              <w:fldChar w:fldCharType="end"/>
            </w:r>
          </w:p>
        </w:tc>
        <w:tc>
          <w:tcPr>
            <w:tcW w:w="1956" w:type="dxa"/>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47"/>
              <w:adjustRightInd/>
              <w:spacing w:before="46" w:after="46" w:line="240" w:lineRule="auto"/>
              <w:rPr>
                <w:rFonts w:ascii="Times New Roman"/>
                <w:b/>
                <w:bCs/>
                <w:snapToGrid w:val="0"/>
                <w:color w:val="auto"/>
                <w:kern w:val="21"/>
                <w:szCs w:val="21"/>
              </w:rPr>
            </w:pPr>
            <w:r>
              <w:rPr>
                <w:rFonts w:hint="eastAsia" w:ascii="Times New Roman"/>
                <w:b/>
                <w:bCs/>
                <w:snapToGrid w:val="0"/>
                <w:color w:val="auto"/>
                <w:kern w:val="21"/>
                <w:szCs w:val="21"/>
              </w:rPr>
              <w:t>以新带老削减量（新建项目不填）</w:t>
            </w:r>
            <w:r>
              <w:rPr>
                <w:rFonts w:ascii="Times New Roman"/>
                <w:b/>
                <w:bCs/>
                <w:snapToGrid w:val="0"/>
                <w:color w:val="auto"/>
                <w:kern w:val="21"/>
                <w:szCs w:val="21"/>
              </w:rPr>
              <w:fldChar w:fldCharType="begin"/>
            </w:r>
            <w:r>
              <w:rPr>
                <w:rFonts w:ascii="Times New Roman"/>
                <w:b/>
                <w:bCs/>
                <w:snapToGrid w:val="0"/>
                <w:color w:val="auto"/>
                <w:kern w:val="21"/>
                <w:szCs w:val="21"/>
              </w:rPr>
              <w:instrText xml:space="preserve"> = 5 \* GB3 \* MERGEFORMAT </w:instrText>
            </w:r>
            <w:r>
              <w:rPr>
                <w:rFonts w:ascii="Times New Roman"/>
                <w:b/>
                <w:bCs/>
                <w:snapToGrid w:val="0"/>
                <w:color w:val="auto"/>
                <w:kern w:val="21"/>
                <w:szCs w:val="21"/>
              </w:rPr>
              <w:fldChar w:fldCharType="separate"/>
            </w:r>
            <w:r>
              <w:rPr>
                <w:rFonts w:hint="eastAsia" w:hAnsi="宋体" w:cs="宋体"/>
                <w:b/>
                <w:bCs/>
                <w:snapToGrid w:val="0"/>
                <w:color w:val="auto"/>
                <w:kern w:val="21"/>
                <w:szCs w:val="21"/>
              </w:rPr>
              <w:t>⑤</w:t>
            </w:r>
            <w:r>
              <w:rPr>
                <w:rFonts w:ascii="Times New Roman"/>
                <w:b/>
                <w:bCs/>
                <w:snapToGrid w:val="0"/>
                <w:color w:val="auto"/>
                <w:kern w:val="21"/>
                <w:szCs w:val="21"/>
              </w:rPr>
              <w:fldChar w:fldCharType="end"/>
            </w:r>
          </w:p>
        </w:tc>
        <w:tc>
          <w:tcPr>
            <w:tcW w:w="1683" w:type="dxa"/>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47"/>
              <w:adjustRightInd/>
              <w:spacing w:before="46" w:after="46" w:line="240" w:lineRule="auto"/>
              <w:rPr>
                <w:rFonts w:ascii="Times New Roman"/>
                <w:b/>
                <w:bCs/>
                <w:snapToGrid w:val="0"/>
                <w:color w:val="auto"/>
                <w:kern w:val="21"/>
                <w:szCs w:val="21"/>
              </w:rPr>
            </w:pPr>
            <w:r>
              <w:rPr>
                <w:rFonts w:hint="eastAsia" w:ascii="Times New Roman"/>
                <w:b/>
                <w:bCs/>
                <w:snapToGrid w:val="0"/>
                <w:color w:val="auto"/>
                <w:kern w:val="21"/>
                <w:szCs w:val="21"/>
              </w:rPr>
              <w:t>本项目建成后全厂排放量（固体废物产生量）</w:t>
            </w:r>
            <w:r>
              <w:rPr>
                <w:rFonts w:ascii="Times New Roman"/>
                <w:b/>
                <w:bCs/>
                <w:snapToGrid w:val="0"/>
                <w:color w:val="auto"/>
                <w:kern w:val="21"/>
                <w:szCs w:val="21"/>
              </w:rPr>
              <w:fldChar w:fldCharType="begin"/>
            </w:r>
            <w:r>
              <w:rPr>
                <w:rFonts w:ascii="Times New Roman"/>
                <w:b/>
                <w:bCs/>
                <w:snapToGrid w:val="0"/>
                <w:color w:val="auto"/>
                <w:kern w:val="21"/>
                <w:szCs w:val="21"/>
              </w:rPr>
              <w:instrText xml:space="preserve"> = 6 \* GB3 \* MERGEFORMAT </w:instrText>
            </w:r>
            <w:r>
              <w:rPr>
                <w:rFonts w:ascii="Times New Roman"/>
                <w:b/>
                <w:bCs/>
                <w:snapToGrid w:val="0"/>
                <w:color w:val="auto"/>
                <w:kern w:val="21"/>
                <w:szCs w:val="21"/>
              </w:rPr>
              <w:fldChar w:fldCharType="separate"/>
            </w:r>
            <w:r>
              <w:rPr>
                <w:rFonts w:hint="eastAsia" w:hAnsi="宋体" w:cs="宋体"/>
                <w:b/>
                <w:bCs/>
                <w:snapToGrid w:val="0"/>
                <w:color w:val="auto"/>
                <w:kern w:val="21"/>
                <w:szCs w:val="21"/>
              </w:rPr>
              <w:t>⑥</w:t>
            </w:r>
            <w:r>
              <w:rPr>
                <w:rFonts w:ascii="Times New Roman"/>
                <w:b/>
                <w:bCs/>
                <w:snapToGrid w:val="0"/>
                <w:color w:val="auto"/>
                <w:kern w:val="21"/>
                <w:szCs w:val="21"/>
              </w:rPr>
              <w:fldChar w:fldCharType="end"/>
            </w:r>
          </w:p>
        </w:tc>
        <w:tc>
          <w:tcPr>
            <w:tcW w:w="1550" w:type="dxa"/>
            <w:tcBorders>
              <w:top w:val="single" w:color="auto" w:sz="12" w:space="0"/>
              <w:left w:val="single" w:color="auto" w:sz="4" w:space="0"/>
              <w:bottom w:val="single" w:color="auto" w:sz="4" w:space="0"/>
              <w:right w:val="single" w:color="auto" w:sz="12" w:space="0"/>
            </w:tcBorders>
            <w:tcMar>
              <w:top w:w="0" w:type="dxa"/>
              <w:left w:w="28" w:type="dxa"/>
              <w:bottom w:w="0" w:type="dxa"/>
              <w:right w:w="28" w:type="dxa"/>
            </w:tcMar>
            <w:vAlign w:val="center"/>
          </w:tcPr>
          <w:p>
            <w:pPr>
              <w:pStyle w:val="47"/>
              <w:adjustRightInd/>
              <w:spacing w:before="46" w:after="46" w:line="240" w:lineRule="auto"/>
              <w:rPr>
                <w:rFonts w:ascii="Times New Roman"/>
                <w:b/>
                <w:bCs/>
                <w:snapToGrid w:val="0"/>
                <w:color w:val="auto"/>
                <w:kern w:val="21"/>
                <w:szCs w:val="21"/>
              </w:rPr>
            </w:pPr>
            <w:r>
              <w:rPr>
                <w:rFonts w:hint="eastAsia" w:ascii="Times New Roman"/>
                <w:b/>
                <w:bCs/>
                <w:snapToGrid w:val="0"/>
                <w:color w:val="auto"/>
                <w:kern w:val="21"/>
                <w:szCs w:val="21"/>
              </w:rPr>
              <w:t>变化量</w:t>
            </w:r>
            <w:r>
              <w:rPr>
                <w:rFonts w:ascii="Times New Roman"/>
                <w:b/>
                <w:bCs/>
                <w:snapToGrid w:val="0"/>
                <w:color w:val="auto"/>
                <w:kern w:val="21"/>
                <w:szCs w:val="21"/>
              </w:rPr>
              <w:fldChar w:fldCharType="begin"/>
            </w:r>
            <w:r>
              <w:rPr>
                <w:rFonts w:ascii="Times New Roman"/>
                <w:b/>
                <w:bCs/>
                <w:snapToGrid w:val="0"/>
                <w:color w:val="auto"/>
                <w:kern w:val="21"/>
                <w:szCs w:val="21"/>
              </w:rPr>
              <w:instrText xml:space="preserve"> = 7 \* GB3 \* MERGEFORMAT </w:instrText>
            </w:r>
            <w:r>
              <w:rPr>
                <w:rFonts w:ascii="Times New Roman"/>
                <w:b/>
                <w:bCs/>
                <w:snapToGrid w:val="0"/>
                <w:color w:val="auto"/>
                <w:kern w:val="21"/>
                <w:szCs w:val="21"/>
              </w:rPr>
              <w:fldChar w:fldCharType="separate"/>
            </w:r>
            <w:r>
              <w:rPr>
                <w:rFonts w:hint="eastAsia" w:hAnsi="宋体" w:cs="宋体"/>
                <w:b/>
                <w:bCs/>
                <w:snapToGrid w:val="0"/>
                <w:color w:val="auto"/>
                <w:kern w:val="21"/>
                <w:szCs w:val="21"/>
              </w:rPr>
              <w:t>⑦</w:t>
            </w:r>
            <w:r>
              <w:rPr>
                <w:rFonts w:ascii="Times New Roman"/>
                <w:b/>
                <w:bCs/>
                <w:snapToGrid w:val="0"/>
                <w:color w:val="auto"/>
                <w:kern w:val="21"/>
                <w:szCs w:val="21"/>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325" w:type="dxa"/>
            <w:tcBorders>
              <w:top w:val="single" w:color="auto" w:sz="4" w:space="0"/>
              <w:left w:val="single" w:color="auto" w:sz="12" w:space="0"/>
              <w:bottom w:val="single" w:color="auto" w:sz="4" w:space="0"/>
              <w:right w:val="single" w:color="auto" w:sz="4" w:space="0"/>
            </w:tcBorders>
            <w:vAlign w:val="center"/>
          </w:tcPr>
          <w:p>
            <w:pPr>
              <w:pStyle w:val="47"/>
              <w:adjustRightInd/>
              <w:spacing w:before="46" w:after="46" w:line="240" w:lineRule="auto"/>
              <w:rPr>
                <w:rFonts w:ascii="Times New Roman"/>
                <w:snapToGrid w:val="0"/>
                <w:color w:val="auto"/>
                <w:kern w:val="21"/>
                <w:szCs w:val="21"/>
              </w:rPr>
            </w:pPr>
            <w:r>
              <w:rPr>
                <w:rFonts w:hint="eastAsia" w:ascii="Times New Roman"/>
                <w:snapToGrid w:val="0"/>
                <w:color w:val="auto"/>
                <w:kern w:val="21"/>
                <w:szCs w:val="21"/>
              </w:rPr>
              <w:t>废气</w:t>
            </w:r>
          </w:p>
        </w:tc>
        <w:tc>
          <w:tcPr>
            <w:tcW w:w="1484" w:type="dxa"/>
            <w:tcBorders>
              <w:top w:val="single" w:color="auto" w:sz="4" w:space="0"/>
              <w:left w:val="single" w:color="auto" w:sz="4" w:space="0"/>
              <w:bottom w:val="single" w:color="auto" w:sz="4" w:space="0"/>
              <w:right w:val="single" w:color="auto" w:sz="4" w:space="0"/>
            </w:tcBorders>
            <w:vAlign w:val="center"/>
          </w:tcPr>
          <w:p>
            <w:pPr>
              <w:pStyle w:val="47"/>
              <w:adjustRightInd/>
              <w:spacing w:before="46" w:after="46"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非甲烷总烃</w:t>
            </w:r>
          </w:p>
        </w:tc>
        <w:tc>
          <w:tcPr>
            <w:tcW w:w="1609" w:type="dxa"/>
            <w:tcBorders>
              <w:top w:val="single" w:color="auto" w:sz="4" w:space="0"/>
              <w:left w:val="single" w:color="auto" w:sz="4" w:space="0"/>
              <w:bottom w:val="single" w:color="auto" w:sz="4" w:space="0"/>
              <w:right w:val="nil"/>
            </w:tcBorders>
            <w:vAlign w:val="center"/>
          </w:tcPr>
          <w:p>
            <w:pPr>
              <w:adjustRightInd w:val="0"/>
              <w:snapToGrid w:val="0"/>
              <w:spacing w:line="320" w:lineRule="exact"/>
              <w:jc w:val="center"/>
              <w:rPr>
                <w:rFonts w:hint="eastAsia" w:eastAsia="宋体"/>
                <w:snapToGrid w:val="0"/>
                <w:color w:val="auto"/>
                <w:kern w:val="21"/>
                <w:szCs w:val="21"/>
                <w:lang w:eastAsia="zh-CN"/>
              </w:rPr>
            </w:pPr>
            <w:r>
              <w:rPr>
                <w:rFonts w:hint="eastAsia"/>
                <w:color w:val="auto"/>
                <w:szCs w:val="21"/>
                <w:lang w:val="en-US" w:eastAsia="zh-CN"/>
              </w:rPr>
              <w:t>/</w:t>
            </w:r>
          </w:p>
        </w:tc>
        <w:tc>
          <w:tcPr>
            <w:tcW w:w="1173" w:type="dxa"/>
            <w:tcBorders>
              <w:top w:val="single" w:color="auto" w:sz="4" w:space="0"/>
              <w:left w:val="single" w:color="auto" w:sz="4" w:space="0"/>
              <w:bottom w:val="single" w:color="auto" w:sz="4" w:space="0"/>
              <w:right w:val="single" w:color="auto" w:sz="4" w:space="0"/>
            </w:tcBorders>
            <w:vAlign w:val="center"/>
          </w:tcPr>
          <w:p>
            <w:pPr>
              <w:snapToGrid w:val="0"/>
              <w:jc w:val="center"/>
              <w:rPr>
                <w:snapToGrid w:val="0"/>
                <w:color w:val="auto"/>
                <w:kern w:val="21"/>
                <w:szCs w:val="21"/>
              </w:rPr>
            </w:pPr>
            <w:r>
              <w:rPr>
                <w:color w:val="auto"/>
                <w:kern w:val="0"/>
                <w:szCs w:val="21"/>
              </w:rPr>
              <w:t>/</w:t>
            </w:r>
          </w:p>
        </w:tc>
        <w:tc>
          <w:tcPr>
            <w:tcW w:w="1609"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snapToGrid w:val="0"/>
                <w:color w:val="auto"/>
                <w:kern w:val="21"/>
                <w:szCs w:val="21"/>
              </w:rPr>
            </w:pPr>
            <w:r>
              <w:rPr>
                <w:color w:val="auto"/>
                <w:kern w:val="0"/>
                <w:szCs w:val="21"/>
              </w:rPr>
              <w:t>/</w:t>
            </w:r>
          </w:p>
        </w:tc>
        <w:tc>
          <w:tcPr>
            <w:tcW w:w="1663"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default" w:eastAsia="宋体"/>
                <w:snapToGrid w:val="0"/>
                <w:color w:val="auto"/>
                <w:kern w:val="21"/>
                <w:szCs w:val="21"/>
                <w:lang w:val="en-US" w:eastAsia="zh-CN"/>
              </w:rPr>
            </w:pPr>
            <w:r>
              <w:rPr>
                <w:rFonts w:hint="eastAsia"/>
                <w:snapToGrid w:val="0"/>
                <w:color w:val="auto"/>
                <w:kern w:val="21"/>
                <w:szCs w:val="21"/>
                <w:lang w:val="en-US" w:eastAsia="zh-CN"/>
              </w:rPr>
              <w:t>0.54t</w:t>
            </w:r>
            <w:r>
              <w:rPr>
                <w:rFonts w:hint="eastAsia" w:ascii="Times New Roman"/>
                <w:snapToGrid w:val="0"/>
                <w:color w:val="auto"/>
                <w:kern w:val="21"/>
                <w:szCs w:val="21"/>
                <w:lang w:val="en-US" w:eastAsia="zh-CN"/>
              </w:rPr>
              <w:t>/a</w:t>
            </w:r>
          </w:p>
        </w:tc>
        <w:tc>
          <w:tcPr>
            <w:tcW w:w="195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eastAsia" w:eastAsia="宋体"/>
                <w:snapToGrid w:val="0"/>
                <w:color w:val="auto"/>
                <w:kern w:val="21"/>
                <w:szCs w:val="21"/>
                <w:lang w:val="en-US" w:eastAsia="zh-CN"/>
              </w:rPr>
            </w:pPr>
            <w:r>
              <w:rPr>
                <w:rFonts w:hint="eastAsia"/>
                <w:snapToGrid w:val="0"/>
                <w:color w:val="auto"/>
                <w:kern w:val="21"/>
                <w:szCs w:val="21"/>
                <w:lang w:val="en-US" w:eastAsia="zh-CN"/>
              </w:rPr>
              <w:t>/</w:t>
            </w:r>
          </w:p>
        </w:tc>
        <w:tc>
          <w:tcPr>
            <w:tcW w:w="1683"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snapToGrid w:val="0"/>
                <w:color w:val="auto"/>
                <w:kern w:val="21"/>
                <w:szCs w:val="21"/>
              </w:rPr>
            </w:pPr>
            <w:r>
              <w:rPr>
                <w:rFonts w:hint="eastAsia"/>
                <w:snapToGrid w:val="0"/>
                <w:color w:val="auto"/>
                <w:kern w:val="21"/>
                <w:szCs w:val="21"/>
                <w:lang w:val="en-US" w:eastAsia="zh-CN"/>
              </w:rPr>
              <w:t>0.54t</w:t>
            </w:r>
            <w:r>
              <w:rPr>
                <w:rFonts w:hint="eastAsia" w:ascii="Times New Roman"/>
                <w:snapToGrid w:val="0"/>
                <w:color w:val="auto"/>
                <w:kern w:val="21"/>
                <w:szCs w:val="21"/>
                <w:lang w:val="en-US" w:eastAsia="zh-CN"/>
              </w:rPr>
              <w:t>/a</w:t>
            </w:r>
          </w:p>
        </w:tc>
        <w:tc>
          <w:tcPr>
            <w:tcW w:w="1550" w:type="dxa"/>
            <w:tcBorders>
              <w:top w:val="single" w:color="auto" w:sz="4" w:space="0"/>
              <w:left w:val="single" w:color="auto" w:sz="4" w:space="0"/>
              <w:bottom w:val="single" w:color="auto" w:sz="4" w:space="0"/>
              <w:right w:val="single" w:color="auto" w:sz="12" w:space="0"/>
            </w:tcBorders>
            <w:vAlign w:val="center"/>
          </w:tcPr>
          <w:p>
            <w:pPr>
              <w:widowControl/>
              <w:snapToGrid w:val="0"/>
              <w:jc w:val="center"/>
              <w:rPr>
                <w:snapToGrid w:val="0"/>
                <w:color w:val="auto"/>
                <w:kern w:val="21"/>
                <w:szCs w:val="21"/>
              </w:rPr>
            </w:pPr>
            <w:r>
              <w:rPr>
                <w:rFonts w:hint="eastAsia"/>
                <w:snapToGrid w:val="0"/>
                <w:color w:val="auto"/>
                <w:kern w:val="21"/>
                <w:szCs w:val="21"/>
                <w:lang w:val="en-US" w:eastAsia="zh-CN"/>
              </w:rPr>
              <w:t>+0.54t</w:t>
            </w:r>
            <w:r>
              <w:rPr>
                <w:rFonts w:hint="eastAsia" w:ascii="Times New Roman"/>
                <w:snapToGrid w:val="0"/>
                <w:color w:val="auto"/>
                <w:kern w:val="21"/>
                <w:szCs w:val="21"/>
                <w:lang w:val="en-US" w:eastAsia="zh-CN"/>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325" w:type="dxa"/>
            <w:tcBorders>
              <w:top w:val="single" w:color="auto" w:sz="4" w:space="0"/>
              <w:left w:val="single" w:color="auto" w:sz="12" w:space="0"/>
              <w:bottom w:val="single" w:color="auto" w:sz="4" w:space="0"/>
              <w:right w:val="single" w:color="auto" w:sz="4" w:space="0"/>
            </w:tcBorders>
            <w:vAlign w:val="center"/>
          </w:tcPr>
          <w:p>
            <w:pPr>
              <w:pStyle w:val="47"/>
              <w:adjustRightInd/>
              <w:spacing w:before="46" w:after="46"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废水</w:t>
            </w:r>
          </w:p>
        </w:tc>
        <w:tc>
          <w:tcPr>
            <w:tcW w:w="1484" w:type="dxa"/>
            <w:tcBorders>
              <w:top w:val="single" w:color="auto" w:sz="4" w:space="0"/>
              <w:left w:val="single" w:color="auto" w:sz="4" w:space="0"/>
              <w:bottom w:val="single" w:color="auto" w:sz="4" w:space="0"/>
              <w:right w:val="single" w:color="auto" w:sz="4" w:space="0"/>
            </w:tcBorders>
            <w:vAlign w:val="center"/>
          </w:tcPr>
          <w:p>
            <w:pPr>
              <w:pStyle w:val="47"/>
              <w:adjustRightInd/>
              <w:spacing w:before="46" w:after="46" w:line="240" w:lineRule="auto"/>
              <w:rPr>
                <w:rFonts w:hint="default" w:ascii="Times New Roman"/>
                <w:snapToGrid w:val="0"/>
                <w:color w:val="auto"/>
                <w:kern w:val="21"/>
                <w:szCs w:val="21"/>
                <w:lang w:val="en-US" w:eastAsia="zh-CN"/>
              </w:rPr>
            </w:pPr>
            <w:r>
              <w:rPr>
                <w:rFonts w:hint="eastAsia" w:ascii="Times New Roman"/>
                <w:snapToGrid w:val="0"/>
                <w:color w:val="auto"/>
                <w:kern w:val="21"/>
                <w:szCs w:val="21"/>
                <w:lang w:val="en-US" w:eastAsia="zh-CN"/>
              </w:rPr>
              <w:t>生活污水</w:t>
            </w:r>
          </w:p>
        </w:tc>
        <w:tc>
          <w:tcPr>
            <w:tcW w:w="1609" w:type="dxa"/>
            <w:tcBorders>
              <w:top w:val="single" w:color="auto" w:sz="4" w:space="0"/>
              <w:left w:val="single" w:color="auto" w:sz="4" w:space="0"/>
              <w:bottom w:val="single" w:color="auto" w:sz="4" w:space="0"/>
              <w:right w:val="nil"/>
            </w:tcBorders>
            <w:vAlign w:val="center"/>
          </w:tcPr>
          <w:p>
            <w:pPr>
              <w:adjustRightInd w:val="0"/>
              <w:snapToGrid w:val="0"/>
              <w:spacing w:line="320" w:lineRule="exact"/>
              <w:jc w:val="center"/>
              <w:rPr>
                <w:rFonts w:hint="default"/>
                <w:color w:val="auto"/>
                <w:szCs w:val="21"/>
                <w:lang w:val="en-US" w:eastAsia="zh-CN"/>
              </w:rPr>
            </w:pPr>
            <w:r>
              <w:rPr>
                <w:rFonts w:hint="eastAsia"/>
                <w:color w:val="auto"/>
                <w:szCs w:val="21"/>
                <w:lang w:val="en-US" w:eastAsia="zh-CN"/>
              </w:rPr>
              <w:t>/</w:t>
            </w:r>
          </w:p>
        </w:tc>
        <w:tc>
          <w:tcPr>
            <w:tcW w:w="1173"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eastAsia="宋体"/>
                <w:color w:val="auto"/>
                <w:kern w:val="0"/>
                <w:szCs w:val="21"/>
                <w:lang w:val="en-US" w:eastAsia="zh-CN"/>
              </w:rPr>
            </w:pPr>
            <w:r>
              <w:rPr>
                <w:rFonts w:hint="eastAsia"/>
                <w:color w:val="auto"/>
                <w:kern w:val="0"/>
                <w:szCs w:val="21"/>
                <w:lang w:val="en-US" w:eastAsia="zh-CN"/>
              </w:rPr>
              <w:t>/</w:t>
            </w:r>
          </w:p>
        </w:tc>
        <w:tc>
          <w:tcPr>
            <w:tcW w:w="1609"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eastAsia="宋体"/>
                <w:color w:val="auto"/>
                <w:kern w:val="0"/>
                <w:szCs w:val="21"/>
                <w:lang w:val="en-US" w:eastAsia="zh-CN"/>
              </w:rPr>
            </w:pPr>
            <w:r>
              <w:rPr>
                <w:rFonts w:hint="eastAsia"/>
                <w:color w:val="auto"/>
                <w:kern w:val="0"/>
                <w:szCs w:val="21"/>
                <w:lang w:val="en-US" w:eastAsia="zh-CN"/>
              </w:rPr>
              <w:t>/</w:t>
            </w:r>
          </w:p>
        </w:tc>
        <w:tc>
          <w:tcPr>
            <w:tcW w:w="1663"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default"/>
                <w:snapToGrid w:val="0"/>
                <w:color w:val="auto"/>
                <w:kern w:val="21"/>
                <w:szCs w:val="21"/>
                <w:vertAlign w:val="baseline"/>
                <w:lang w:val="en-US" w:eastAsia="zh-CN"/>
              </w:rPr>
            </w:pPr>
            <w:r>
              <w:rPr>
                <w:rFonts w:hint="eastAsia"/>
                <w:snapToGrid w:val="0"/>
                <w:color w:val="auto"/>
                <w:kern w:val="21"/>
                <w:szCs w:val="21"/>
                <w:lang w:val="en-US" w:eastAsia="zh-CN"/>
              </w:rPr>
              <w:t>/</w:t>
            </w:r>
          </w:p>
        </w:tc>
        <w:tc>
          <w:tcPr>
            <w:tcW w:w="195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default"/>
                <w:snapToGrid w:val="0"/>
                <w:color w:val="auto"/>
                <w:kern w:val="21"/>
                <w:szCs w:val="21"/>
                <w:lang w:val="en-US" w:eastAsia="zh-CN"/>
              </w:rPr>
            </w:pPr>
            <w:r>
              <w:rPr>
                <w:rFonts w:hint="eastAsia"/>
                <w:snapToGrid w:val="0"/>
                <w:color w:val="auto"/>
                <w:kern w:val="21"/>
                <w:szCs w:val="21"/>
                <w:lang w:val="en-US" w:eastAsia="zh-CN"/>
              </w:rPr>
              <w:t>/</w:t>
            </w:r>
          </w:p>
        </w:tc>
        <w:tc>
          <w:tcPr>
            <w:tcW w:w="1683"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default"/>
                <w:snapToGrid w:val="0"/>
                <w:color w:val="auto"/>
                <w:kern w:val="21"/>
                <w:szCs w:val="21"/>
                <w:lang w:val="en-US" w:eastAsia="zh-CN"/>
              </w:rPr>
            </w:pPr>
            <w:r>
              <w:rPr>
                <w:rFonts w:hint="eastAsia"/>
                <w:snapToGrid w:val="0"/>
                <w:color w:val="auto"/>
                <w:kern w:val="21"/>
                <w:szCs w:val="21"/>
                <w:lang w:val="en-US" w:eastAsia="zh-CN"/>
              </w:rPr>
              <w:t>/</w:t>
            </w:r>
          </w:p>
        </w:tc>
        <w:tc>
          <w:tcPr>
            <w:tcW w:w="1550" w:type="dxa"/>
            <w:tcBorders>
              <w:top w:val="single" w:color="auto" w:sz="4" w:space="0"/>
              <w:left w:val="single" w:color="auto" w:sz="4" w:space="0"/>
              <w:bottom w:val="single" w:color="auto" w:sz="4" w:space="0"/>
              <w:right w:val="single" w:color="auto" w:sz="12" w:space="0"/>
            </w:tcBorders>
            <w:vAlign w:val="center"/>
          </w:tcPr>
          <w:p>
            <w:pPr>
              <w:widowControl/>
              <w:snapToGrid w:val="0"/>
              <w:jc w:val="center"/>
              <w:rPr>
                <w:rFonts w:hint="default"/>
                <w:snapToGrid w:val="0"/>
                <w:color w:val="auto"/>
                <w:kern w:val="21"/>
                <w:szCs w:val="21"/>
                <w:lang w:val="en-US" w:eastAsia="zh-CN"/>
              </w:rPr>
            </w:pPr>
            <w:r>
              <w:rPr>
                <w:rFonts w:hint="eastAsia"/>
                <w:snapToGrid w:val="0"/>
                <w:color w:val="auto"/>
                <w:kern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325" w:type="dxa"/>
            <w:tcBorders>
              <w:top w:val="single" w:color="auto" w:sz="4" w:space="0"/>
              <w:left w:val="single" w:color="auto" w:sz="12" w:space="0"/>
              <w:right w:val="single" w:color="auto" w:sz="4" w:space="0"/>
            </w:tcBorders>
            <w:vAlign w:val="center"/>
          </w:tcPr>
          <w:p>
            <w:pPr>
              <w:pStyle w:val="47"/>
              <w:adjustRightInd/>
              <w:spacing w:before="46" w:after="46" w:line="240" w:lineRule="auto"/>
              <w:rPr>
                <w:rFonts w:ascii="Times New Roman"/>
                <w:snapToGrid w:val="0"/>
                <w:color w:val="auto"/>
                <w:kern w:val="21"/>
                <w:szCs w:val="21"/>
              </w:rPr>
            </w:pPr>
            <w:r>
              <w:rPr>
                <w:rFonts w:hint="eastAsia" w:ascii="Times New Roman"/>
                <w:snapToGrid w:val="0"/>
                <w:color w:val="auto"/>
                <w:kern w:val="21"/>
                <w:szCs w:val="21"/>
              </w:rPr>
              <w:t>一般工业</w:t>
            </w:r>
          </w:p>
          <w:p>
            <w:pPr>
              <w:pStyle w:val="47"/>
              <w:adjustRightInd/>
              <w:spacing w:before="46" w:after="46" w:line="240" w:lineRule="auto"/>
              <w:rPr>
                <w:rFonts w:ascii="Times New Roman"/>
                <w:snapToGrid w:val="0"/>
                <w:color w:val="auto"/>
                <w:kern w:val="21"/>
                <w:szCs w:val="21"/>
              </w:rPr>
            </w:pPr>
            <w:r>
              <w:rPr>
                <w:rFonts w:hint="eastAsia" w:ascii="Times New Roman"/>
                <w:snapToGrid w:val="0"/>
                <w:color w:val="auto"/>
                <w:kern w:val="21"/>
                <w:szCs w:val="21"/>
              </w:rPr>
              <w:t>固体废物</w:t>
            </w:r>
          </w:p>
        </w:tc>
        <w:tc>
          <w:tcPr>
            <w:tcW w:w="1484"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eastAsia="宋体"/>
                <w:snapToGrid w:val="0"/>
                <w:color w:val="auto"/>
                <w:kern w:val="21"/>
                <w:szCs w:val="21"/>
                <w:lang w:val="en-US" w:eastAsia="zh-CN"/>
              </w:rPr>
            </w:pPr>
            <w:r>
              <w:rPr>
                <w:rFonts w:hint="eastAsia"/>
                <w:snapToGrid w:val="0"/>
                <w:color w:val="auto"/>
                <w:kern w:val="21"/>
                <w:szCs w:val="21"/>
                <w:lang w:val="en-US" w:eastAsia="zh-CN"/>
              </w:rPr>
              <w:t>生活垃圾</w:t>
            </w:r>
          </w:p>
        </w:tc>
        <w:tc>
          <w:tcPr>
            <w:tcW w:w="1609"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snapToGrid w:val="0"/>
                <w:color w:val="auto"/>
                <w:kern w:val="21"/>
                <w:szCs w:val="21"/>
              </w:rPr>
            </w:pPr>
            <w:r>
              <w:rPr>
                <w:color w:val="auto"/>
                <w:kern w:val="0"/>
                <w:szCs w:val="21"/>
              </w:rPr>
              <w:t>/</w:t>
            </w:r>
          </w:p>
        </w:tc>
        <w:tc>
          <w:tcPr>
            <w:tcW w:w="1173" w:type="dxa"/>
            <w:tcBorders>
              <w:top w:val="single" w:color="auto" w:sz="4" w:space="0"/>
              <w:left w:val="single" w:color="auto" w:sz="4" w:space="0"/>
              <w:bottom w:val="single" w:color="auto" w:sz="4" w:space="0"/>
              <w:right w:val="single" w:color="auto" w:sz="4" w:space="0"/>
            </w:tcBorders>
            <w:vAlign w:val="center"/>
          </w:tcPr>
          <w:p>
            <w:pPr>
              <w:snapToGrid w:val="0"/>
              <w:jc w:val="center"/>
              <w:rPr>
                <w:snapToGrid w:val="0"/>
                <w:color w:val="auto"/>
                <w:kern w:val="21"/>
                <w:szCs w:val="21"/>
              </w:rPr>
            </w:pPr>
            <w:r>
              <w:rPr>
                <w:color w:val="auto"/>
                <w:kern w:val="0"/>
                <w:szCs w:val="21"/>
              </w:rPr>
              <w:t>/</w:t>
            </w:r>
          </w:p>
        </w:tc>
        <w:tc>
          <w:tcPr>
            <w:tcW w:w="1609"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snapToGrid w:val="0"/>
                <w:color w:val="auto"/>
                <w:kern w:val="21"/>
                <w:szCs w:val="21"/>
              </w:rPr>
            </w:pPr>
            <w:r>
              <w:rPr>
                <w:color w:val="auto"/>
                <w:kern w:val="0"/>
                <w:szCs w:val="21"/>
              </w:rPr>
              <w:t>/</w:t>
            </w:r>
          </w:p>
        </w:tc>
        <w:tc>
          <w:tcPr>
            <w:tcW w:w="1663"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eastAsia="宋体"/>
                <w:snapToGrid w:val="0"/>
                <w:color w:val="auto"/>
                <w:kern w:val="21"/>
                <w:szCs w:val="21"/>
                <w:lang w:val="en-US" w:eastAsia="zh-CN"/>
              </w:rPr>
            </w:pPr>
            <w:r>
              <w:rPr>
                <w:rFonts w:hint="eastAsia"/>
                <w:snapToGrid w:val="0"/>
                <w:color w:val="auto"/>
                <w:kern w:val="21"/>
                <w:szCs w:val="21"/>
                <w:lang w:val="en-US" w:eastAsia="zh-CN"/>
              </w:rPr>
              <w:t>6.57t</w:t>
            </w:r>
            <w:r>
              <w:rPr>
                <w:rFonts w:hint="eastAsia" w:ascii="Times New Roman"/>
                <w:snapToGrid w:val="0"/>
                <w:color w:val="auto"/>
                <w:kern w:val="21"/>
                <w:szCs w:val="21"/>
                <w:lang w:val="en-US" w:eastAsia="zh-CN"/>
              </w:rPr>
              <w:t>/a</w:t>
            </w:r>
          </w:p>
        </w:tc>
        <w:tc>
          <w:tcPr>
            <w:tcW w:w="1956"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eastAsia="宋体"/>
                <w:snapToGrid w:val="0"/>
                <w:color w:val="auto"/>
                <w:kern w:val="21"/>
                <w:szCs w:val="21"/>
                <w:lang w:val="en-US" w:eastAsia="zh-CN"/>
              </w:rPr>
            </w:pPr>
            <w:r>
              <w:rPr>
                <w:rFonts w:hint="eastAsia"/>
                <w:snapToGrid w:val="0"/>
                <w:color w:val="auto"/>
                <w:kern w:val="21"/>
                <w:szCs w:val="21"/>
                <w:lang w:val="en-US" w:eastAsia="zh-CN"/>
              </w:rPr>
              <w:t>/</w:t>
            </w:r>
          </w:p>
        </w:tc>
        <w:tc>
          <w:tcPr>
            <w:tcW w:w="1683" w:type="dxa"/>
            <w:tcBorders>
              <w:top w:val="single" w:color="auto" w:sz="4" w:space="0"/>
              <w:left w:val="single" w:color="auto" w:sz="4" w:space="0"/>
              <w:bottom w:val="single" w:color="auto" w:sz="4" w:space="0"/>
              <w:right w:val="single" w:color="auto" w:sz="4" w:space="0"/>
            </w:tcBorders>
            <w:vAlign w:val="center"/>
          </w:tcPr>
          <w:p>
            <w:pPr>
              <w:snapToGrid w:val="0"/>
              <w:jc w:val="center"/>
              <w:rPr>
                <w:snapToGrid w:val="0"/>
                <w:color w:val="auto"/>
                <w:kern w:val="21"/>
                <w:szCs w:val="21"/>
              </w:rPr>
            </w:pPr>
            <w:r>
              <w:rPr>
                <w:rFonts w:hint="eastAsia"/>
                <w:snapToGrid w:val="0"/>
                <w:color w:val="auto"/>
                <w:kern w:val="21"/>
                <w:szCs w:val="21"/>
                <w:lang w:val="en-US" w:eastAsia="zh-CN"/>
              </w:rPr>
              <w:t>6.57t</w:t>
            </w:r>
            <w:r>
              <w:rPr>
                <w:rFonts w:hint="eastAsia" w:ascii="Times New Roman"/>
                <w:snapToGrid w:val="0"/>
                <w:color w:val="auto"/>
                <w:kern w:val="21"/>
                <w:szCs w:val="21"/>
                <w:lang w:val="en-US" w:eastAsia="zh-CN"/>
              </w:rPr>
              <w:t>/a</w:t>
            </w:r>
          </w:p>
        </w:tc>
        <w:tc>
          <w:tcPr>
            <w:tcW w:w="1550" w:type="dxa"/>
            <w:tcBorders>
              <w:top w:val="single" w:color="auto" w:sz="4" w:space="0"/>
              <w:left w:val="single" w:color="auto" w:sz="4" w:space="0"/>
              <w:bottom w:val="single" w:color="auto" w:sz="4" w:space="0"/>
              <w:right w:val="single" w:color="auto" w:sz="12" w:space="0"/>
            </w:tcBorders>
            <w:vAlign w:val="center"/>
          </w:tcPr>
          <w:p>
            <w:pPr>
              <w:snapToGrid w:val="0"/>
              <w:jc w:val="center"/>
              <w:rPr>
                <w:snapToGrid w:val="0"/>
                <w:color w:val="auto"/>
                <w:kern w:val="21"/>
                <w:szCs w:val="21"/>
              </w:rPr>
            </w:pPr>
            <w:r>
              <w:rPr>
                <w:rFonts w:hint="eastAsia"/>
                <w:snapToGrid w:val="0"/>
                <w:color w:val="auto"/>
                <w:kern w:val="21"/>
                <w:szCs w:val="21"/>
                <w:lang w:val="en-US" w:eastAsia="zh-CN"/>
              </w:rPr>
              <w:t>+6.57t</w:t>
            </w:r>
            <w:r>
              <w:rPr>
                <w:rFonts w:hint="eastAsia" w:ascii="Times New Roman"/>
                <w:snapToGrid w:val="0"/>
                <w:color w:val="auto"/>
                <w:kern w:val="21"/>
                <w:szCs w:val="21"/>
                <w:lang w:val="en-US" w:eastAsia="zh-CN"/>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325" w:type="dxa"/>
            <w:vMerge w:val="restart"/>
            <w:tcBorders>
              <w:top w:val="single" w:color="auto" w:sz="4" w:space="0"/>
              <w:left w:val="single" w:color="auto" w:sz="12" w:space="0"/>
              <w:right w:val="single" w:color="auto" w:sz="4" w:space="0"/>
            </w:tcBorders>
            <w:vAlign w:val="center"/>
          </w:tcPr>
          <w:p>
            <w:pPr>
              <w:pStyle w:val="47"/>
              <w:adjustRightInd/>
              <w:spacing w:before="46" w:after="46" w:line="240" w:lineRule="auto"/>
              <w:rPr>
                <w:rFonts w:ascii="Times New Roman"/>
                <w:snapToGrid w:val="0"/>
                <w:color w:val="auto"/>
                <w:kern w:val="21"/>
                <w:szCs w:val="21"/>
              </w:rPr>
            </w:pPr>
            <w:r>
              <w:rPr>
                <w:rFonts w:hint="eastAsia" w:ascii="Times New Roman"/>
                <w:snapToGrid w:val="0"/>
                <w:color w:val="auto"/>
                <w:kern w:val="21"/>
                <w:szCs w:val="21"/>
              </w:rPr>
              <w:t>危险废物</w:t>
            </w:r>
          </w:p>
        </w:tc>
        <w:tc>
          <w:tcPr>
            <w:tcW w:w="1484" w:type="dxa"/>
            <w:tcBorders>
              <w:top w:val="single" w:color="auto" w:sz="4" w:space="0"/>
              <w:left w:val="single" w:color="auto" w:sz="4" w:space="0"/>
              <w:bottom w:val="single" w:color="auto" w:sz="4" w:space="0"/>
              <w:right w:val="single" w:color="auto" w:sz="4" w:space="0"/>
            </w:tcBorders>
            <w:vAlign w:val="center"/>
          </w:tcPr>
          <w:p>
            <w:pPr>
              <w:pStyle w:val="47"/>
              <w:adjustRightInd/>
              <w:spacing w:before="46" w:after="46"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油罐油泥</w:t>
            </w:r>
          </w:p>
        </w:tc>
        <w:tc>
          <w:tcPr>
            <w:tcW w:w="1609"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宋体" w:cs="Times New Roman"/>
                <w:snapToGrid w:val="0"/>
                <w:color w:val="auto"/>
                <w:kern w:val="21"/>
                <w:sz w:val="21"/>
                <w:szCs w:val="21"/>
                <w:lang w:val="en-US" w:eastAsia="zh-CN" w:bidi="ar-SA"/>
              </w:rPr>
            </w:pPr>
            <w:r>
              <w:rPr>
                <w:color w:val="auto"/>
                <w:kern w:val="0"/>
                <w:szCs w:val="21"/>
              </w:rPr>
              <w:t>/</w:t>
            </w:r>
          </w:p>
        </w:tc>
        <w:tc>
          <w:tcPr>
            <w:tcW w:w="117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napToGrid w:val="0"/>
                <w:color w:val="auto"/>
                <w:kern w:val="21"/>
                <w:sz w:val="21"/>
                <w:szCs w:val="21"/>
                <w:lang w:val="en-US" w:eastAsia="zh-CN" w:bidi="ar-SA"/>
              </w:rPr>
            </w:pPr>
            <w:r>
              <w:rPr>
                <w:color w:val="auto"/>
                <w:kern w:val="0"/>
                <w:szCs w:val="21"/>
              </w:rPr>
              <w:t>/</w:t>
            </w:r>
          </w:p>
        </w:tc>
        <w:tc>
          <w:tcPr>
            <w:tcW w:w="1609"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宋体" w:cs="Times New Roman"/>
                <w:snapToGrid w:val="0"/>
                <w:color w:val="auto"/>
                <w:kern w:val="21"/>
                <w:sz w:val="21"/>
                <w:szCs w:val="21"/>
                <w:lang w:val="en-US" w:eastAsia="zh-CN" w:bidi="ar-SA"/>
              </w:rPr>
            </w:pPr>
            <w:r>
              <w:rPr>
                <w:color w:val="auto"/>
                <w:kern w:val="0"/>
                <w:szCs w:val="21"/>
              </w:rPr>
              <w:t>/</w:t>
            </w:r>
          </w:p>
        </w:tc>
        <w:tc>
          <w:tcPr>
            <w:tcW w:w="1663" w:type="dxa"/>
            <w:tcBorders>
              <w:top w:val="single" w:color="auto" w:sz="4" w:space="0"/>
              <w:left w:val="single" w:color="auto" w:sz="4" w:space="0"/>
              <w:bottom w:val="single" w:color="auto" w:sz="4" w:space="0"/>
              <w:right w:val="single" w:color="auto" w:sz="4" w:space="0"/>
            </w:tcBorders>
            <w:vAlign w:val="center"/>
          </w:tcPr>
          <w:p>
            <w:pPr>
              <w:pStyle w:val="47"/>
              <w:adjustRightInd/>
              <w:spacing w:before="46" w:after="46"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1.2t/5a</w:t>
            </w:r>
          </w:p>
        </w:tc>
        <w:tc>
          <w:tcPr>
            <w:tcW w:w="1956" w:type="dxa"/>
            <w:tcBorders>
              <w:top w:val="single" w:color="auto" w:sz="4" w:space="0"/>
              <w:left w:val="single" w:color="auto" w:sz="4" w:space="0"/>
              <w:bottom w:val="single" w:color="auto" w:sz="4" w:space="0"/>
              <w:right w:val="single" w:color="auto" w:sz="4" w:space="0"/>
            </w:tcBorders>
            <w:vAlign w:val="center"/>
          </w:tcPr>
          <w:p>
            <w:pPr>
              <w:pStyle w:val="47"/>
              <w:adjustRightInd/>
              <w:spacing w:before="46" w:after="46"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683" w:type="dxa"/>
            <w:tcBorders>
              <w:top w:val="single" w:color="auto" w:sz="4" w:space="0"/>
              <w:left w:val="single" w:color="auto" w:sz="4" w:space="0"/>
              <w:bottom w:val="single" w:color="auto" w:sz="4" w:space="0"/>
              <w:right w:val="single" w:color="auto" w:sz="4" w:space="0"/>
            </w:tcBorders>
            <w:vAlign w:val="center"/>
          </w:tcPr>
          <w:p>
            <w:pPr>
              <w:pStyle w:val="47"/>
              <w:adjustRightInd/>
              <w:spacing w:before="46" w:after="46" w:line="240" w:lineRule="auto"/>
              <w:rPr>
                <w:rFonts w:ascii="Times New Roman"/>
                <w:snapToGrid w:val="0"/>
                <w:color w:val="auto"/>
                <w:kern w:val="21"/>
                <w:szCs w:val="21"/>
              </w:rPr>
            </w:pPr>
            <w:r>
              <w:rPr>
                <w:rFonts w:hint="eastAsia" w:ascii="Times New Roman"/>
                <w:snapToGrid w:val="0"/>
                <w:color w:val="auto"/>
                <w:kern w:val="21"/>
                <w:szCs w:val="21"/>
                <w:lang w:val="en-US" w:eastAsia="zh-CN"/>
              </w:rPr>
              <w:t>1.2t/5a</w:t>
            </w:r>
          </w:p>
        </w:tc>
        <w:tc>
          <w:tcPr>
            <w:tcW w:w="1550" w:type="dxa"/>
            <w:tcBorders>
              <w:top w:val="single" w:color="auto" w:sz="4" w:space="0"/>
              <w:left w:val="single" w:color="auto" w:sz="4" w:space="0"/>
              <w:bottom w:val="single" w:color="auto" w:sz="4" w:space="0"/>
              <w:right w:val="single" w:color="auto" w:sz="12" w:space="0"/>
            </w:tcBorders>
            <w:vAlign w:val="center"/>
          </w:tcPr>
          <w:p>
            <w:pPr>
              <w:pStyle w:val="47"/>
              <w:adjustRightInd/>
              <w:spacing w:before="46" w:after="46"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+1.2t/5a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325" w:type="dxa"/>
            <w:vMerge w:val="continue"/>
            <w:tcBorders>
              <w:left w:val="single" w:color="auto" w:sz="12" w:space="0"/>
              <w:bottom w:val="single" w:color="auto" w:sz="12" w:space="0"/>
              <w:right w:val="single" w:color="auto" w:sz="4" w:space="0"/>
            </w:tcBorders>
            <w:vAlign w:val="center"/>
          </w:tcPr>
          <w:p>
            <w:pPr>
              <w:pStyle w:val="47"/>
              <w:adjustRightInd/>
              <w:spacing w:before="46" w:after="46" w:line="240" w:lineRule="auto"/>
              <w:rPr>
                <w:rFonts w:hint="eastAsia" w:ascii="Times New Roman"/>
                <w:snapToGrid w:val="0"/>
                <w:color w:val="auto"/>
                <w:kern w:val="21"/>
                <w:szCs w:val="21"/>
              </w:rPr>
            </w:pPr>
          </w:p>
        </w:tc>
        <w:tc>
          <w:tcPr>
            <w:tcW w:w="1484" w:type="dxa"/>
            <w:tcBorders>
              <w:top w:val="single" w:color="auto" w:sz="4" w:space="0"/>
              <w:left w:val="single" w:color="auto" w:sz="4" w:space="0"/>
              <w:bottom w:val="single" w:color="auto" w:sz="12" w:space="0"/>
              <w:right w:val="single" w:color="auto" w:sz="4" w:space="0"/>
            </w:tcBorders>
            <w:vAlign w:val="center"/>
          </w:tcPr>
          <w:p>
            <w:pPr>
              <w:pStyle w:val="47"/>
              <w:adjustRightInd/>
              <w:spacing w:before="46" w:after="46" w:line="240" w:lineRule="auto"/>
              <w:rPr>
                <w:rFonts w:hint="eastAsia" w:ascii="Times New Roman"/>
                <w:snapToGrid w:val="0"/>
                <w:color w:val="auto"/>
                <w:kern w:val="21"/>
                <w:szCs w:val="21"/>
                <w:lang w:val="en-US" w:eastAsia="zh-CN"/>
              </w:rPr>
            </w:pPr>
            <w:r>
              <w:rPr>
                <w:rFonts w:hint="eastAsia" w:ascii="Times New Roman"/>
                <w:snapToGrid w:val="0"/>
                <w:color w:val="auto"/>
                <w:kern w:val="21"/>
                <w:szCs w:val="21"/>
                <w:lang w:val="en-US" w:eastAsia="zh-CN"/>
              </w:rPr>
              <w:t>含油废弃手套、抹布</w:t>
            </w:r>
          </w:p>
        </w:tc>
        <w:tc>
          <w:tcPr>
            <w:tcW w:w="1609" w:type="dxa"/>
            <w:tcBorders>
              <w:top w:val="single" w:color="auto" w:sz="4" w:space="0"/>
              <w:left w:val="single" w:color="auto" w:sz="4" w:space="0"/>
              <w:bottom w:val="single" w:color="auto" w:sz="12" w:space="0"/>
              <w:right w:val="single" w:color="auto" w:sz="4" w:space="0"/>
            </w:tcBorders>
            <w:vAlign w:val="center"/>
          </w:tcPr>
          <w:p>
            <w:pPr>
              <w:widowControl/>
              <w:snapToGrid w:val="0"/>
              <w:jc w:val="center"/>
              <w:rPr>
                <w:rFonts w:hint="default" w:eastAsia="宋体"/>
                <w:color w:val="auto"/>
                <w:kern w:val="0"/>
                <w:szCs w:val="21"/>
                <w:lang w:val="en-US" w:eastAsia="zh-CN"/>
              </w:rPr>
            </w:pPr>
            <w:r>
              <w:rPr>
                <w:rFonts w:hint="eastAsia"/>
                <w:color w:val="auto"/>
                <w:kern w:val="0"/>
                <w:szCs w:val="21"/>
                <w:lang w:val="en-US" w:eastAsia="zh-CN"/>
              </w:rPr>
              <w:t>/</w:t>
            </w:r>
          </w:p>
        </w:tc>
        <w:tc>
          <w:tcPr>
            <w:tcW w:w="1173" w:type="dxa"/>
            <w:tcBorders>
              <w:top w:val="single" w:color="auto" w:sz="4" w:space="0"/>
              <w:left w:val="single" w:color="auto" w:sz="4" w:space="0"/>
              <w:bottom w:val="single" w:color="auto" w:sz="12" w:space="0"/>
              <w:right w:val="single" w:color="auto" w:sz="4" w:space="0"/>
            </w:tcBorders>
            <w:vAlign w:val="center"/>
          </w:tcPr>
          <w:p>
            <w:pPr>
              <w:snapToGrid w:val="0"/>
              <w:jc w:val="center"/>
              <w:rPr>
                <w:rFonts w:hint="eastAsia" w:eastAsia="宋体"/>
                <w:color w:val="auto"/>
                <w:kern w:val="0"/>
                <w:szCs w:val="21"/>
                <w:lang w:val="en-US" w:eastAsia="zh-CN"/>
              </w:rPr>
            </w:pPr>
            <w:r>
              <w:rPr>
                <w:rFonts w:hint="eastAsia"/>
                <w:color w:val="auto"/>
                <w:kern w:val="0"/>
                <w:szCs w:val="21"/>
                <w:lang w:val="en-US" w:eastAsia="zh-CN"/>
              </w:rPr>
              <w:t>/</w:t>
            </w:r>
          </w:p>
        </w:tc>
        <w:tc>
          <w:tcPr>
            <w:tcW w:w="1609" w:type="dxa"/>
            <w:tcBorders>
              <w:top w:val="single" w:color="auto" w:sz="4" w:space="0"/>
              <w:left w:val="single" w:color="auto" w:sz="4" w:space="0"/>
              <w:bottom w:val="single" w:color="auto" w:sz="12" w:space="0"/>
              <w:right w:val="single" w:color="auto" w:sz="4" w:space="0"/>
            </w:tcBorders>
            <w:vAlign w:val="center"/>
          </w:tcPr>
          <w:p>
            <w:pPr>
              <w:widowControl/>
              <w:snapToGrid w:val="0"/>
              <w:jc w:val="center"/>
              <w:rPr>
                <w:rFonts w:hint="eastAsia" w:eastAsia="宋体"/>
                <w:color w:val="auto"/>
                <w:kern w:val="0"/>
                <w:szCs w:val="21"/>
                <w:lang w:val="en-US" w:eastAsia="zh-CN"/>
              </w:rPr>
            </w:pPr>
            <w:r>
              <w:rPr>
                <w:rFonts w:hint="eastAsia"/>
                <w:color w:val="auto"/>
                <w:kern w:val="0"/>
                <w:szCs w:val="21"/>
                <w:lang w:val="en-US" w:eastAsia="zh-CN"/>
              </w:rPr>
              <w:t>/</w:t>
            </w:r>
          </w:p>
        </w:tc>
        <w:tc>
          <w:tcPr>
            <w:tcW w:w="1663" w:type="dxa"/>
            <w:tcBorders>
              <w:top w:val="single" w:color="auto" w:sz="4" w:space="0"/>
              <w:left w:val="single" w:color="auto" w:sz="4" w:space="0"/>
              <w:bottom w:val="single" w:color="auto" w:sz="12" w:space="0"/>
              <w:right w:val="single" w:color="auto" w:sz="4" w:space="0"/>
            </w:tcBorders>
            <w:vAlign w:val="center"/>
          </w:tcPr>
          <w:p>
            <w:pPr>
              <w:pStyle w:val="47"/>
              <w:adjustRightInd/>
              <w:spacing w:before="46" w:after="46" w:line="240" w:lineRule="auto"/>
              <w:rPr>
                <w:rFonts w:hint="default" w:ascii="Times New Roman"/>
                <w:snapToGrid w:val="0"/>
                <w:color w:val="auto"/>
                <w:kern w:val="21"/>
                <w:szCs w:val="21"/>
                <w:lang w:val="en-US" w:eastAsia="zh-CN"/>
              </w:rPr>
            </w:pPr>
            <w:r>
              <w:rPr>
                <w:rFonts w:hint="eastAsia" w:ascii="Times New Roman"/>
                <w:snapToGrid w:val="0"/>
                <w:color w:val="auto"/>
                <w:kern w:val="21"/>
                <w:szCs w:val="21"/>
                <w:lang w:val="en-US" w:eastAsia="zh-CN"/>
              </w:rPr>
              <w:t>0.2t/a</w:t>
            </w:r>
          </w:p>
        </w:tc>
        <w:tc>
          <w:tcPr>
            <w:tcW w:w="1956" w:type="dxa"/>
            <w:tcBorders>
              <w:top w:val="single" w:color="auto" w:sz="4" w:space="0"/>
              <w:left w:val="single" w:color="auto" w:sz="4" w:space="0"/>
              <w:bottom w:val="single" w:color="auto" w:sz="12" w:space="0"/>
              <w:right w:val="single" w:color="auto" w:sz="4" w:space="0"/>
            </w:tcBorders>
            <w:vAlign w:val="center"/>
          </w:tcPr>
          <w:p>
            <w:pPr>
              <w:pStyle w:val="47"/>
              <w:adjustRightInd/>
              <w:spacing w:before="46" w:after="46" w:line="240" w:lineRule="auto"/>
              <w:rPr>
                <w:rFonts w:hint="default" w:ascii="Times New Roman"/>
                <w:snapToGrid w:val="0"/>
                <w:color w:val="auto"/>
                <w:kern w:val="21"/>
                <w:szCs w:val="21"/>
                <w:lang w:val="en-US" w:eastAsia="zh-CN"/>
              </w:rPr>
            </w:pPr>
            <w:r>
              <w:rPr>
                <w:rFonts w:hint="eastAsia" w:ascii="Times New Roman"/>
                <w:snapToGrid w:val="0"/>
                <w:color w:val="auto"/>
                <w:kern w:val="21"/>
                <w:szCs w:val="21"/>
                <w:lang w:val="en-US" w:eastAsia="zh-CN"/>
              </w:rPr>
              <w:t>/</w:t>
            </w:r>
          </w:p>
        </w:tc>
        <w:tc>
          <w:tcPr>
            <w:tcW w:w="1683" w:type="dxa"/>
            <w:tcBorders>
              <w:top w:val="single" w:color="auto" w:sz="4" w:space="0"/>
              <w:left w:val="single" w:color="auto" w:sz="4" w:space="0"/>
              <w:bottom w:val="single" w:color="auto" w:sz="12" w:space="0"/>
              <w:right w:val="single" w:color="auto" w:sz="4" w:space="0"/>
            </w:tcBorders>
            <w:vAlign w:val="center"/>
          </w:tcPr>
          <w:p>
            <w:pPr>
              <w:pStyle w:val="47"/>
              <w:adjustRightInd/>
              <w:spacing w:before="46" w:after="46" w:line="240" w:lineRule="auto"/>
              <w:rPr>
                <w:rFonts w:hint="eastAsia" w:ascii="Times New Roman"/>
                <w:snapToGrid w:val="0"/>
                <w:color w:val="auto"/>
                <w:kern w:val="21"/>
                <w:szCs w:val="21"/>
                <w:lang w:val="en-US" w:eastAsia="zh-CN"/>
              </w:rPr>
            </w:pPr>
            <w:r>
              <w:rPr>
                <w:rFonts w:hint="eastAsia" w:ascii="Times New Roman"/>
                <w:snapToGrid w:val="0"/>
                <w:color w:val="auto"/>
                <w:kern w:val="21"/>
                <w:szCs w:val="21"/>
                <w:lang w:val="en-US" w:eastAsia="zh-CN"/>
              </w:rPr>
              <w:t>0.2t/a</w:t>
            </w:r>
          </w:p>
        </w:tc>
        <w:tc>
          <w:tcPr>
            <w:tcW w:w="1550" w:type="dxa"/>
            <w:tcBorders>
              <w:top w:val="single" w:color="auto" w:sz="4" w:space="0"/>
              <w:left w:val="single" w:color="auto" w:sz="4" w:space="0"/>
              <w:bottom w:val="single" w:color="auto" w:sz="12" w:space="0"/>
              <w:right w:val="single" w:color="auto" w:sz="12" w:space="0"/>
            </w:tcBorders>
            <w:vAlign w:val="center"/>
          </w:tcPr>
          <w:p>
            <w:pPr>
              <w:pStyle w:val="47"/>
              <w:adjustRightInd/>
              <w:spacing w:before="46" w:after="46" w:line="240" w:lineRule="auto"/>
              <w:rPr>
                <w:rFonts w:hint="eastAsia" w:ascii="Times New Roman"/>
                <w:snapToGrid w:val="0"/>
                <w:color w:val="auto"/>
                <w:kern w:val="21"/>
                <w:szCs w:val="21"/>
                <w:lang w:val="en-US" w:eastAsia="zh-CN"/>
              </w:rPr>
            </w:pPr>
            <w:r>
              <w:rPr>
                <w:rFonts w:hint="eastAsia" w:ascii="Times New Roman"/>
                <w:snapToGrid w:val="0"/>
                <w:color w:val="auto"/>
                <w:kern w:val="21"/>
                <w:szCs w:val="21"/>
                <w:lang w:val="en-US" w:eastAsia="zh-CN"/>
              </w:rPr>
              <w:t>+0.2t/a</w:t>
            </w:r>
          </w:p>
        </w:tc>
      </w:tr>
    </w:tbl>
    <w:p>
      <w:pPr>
        <w:pStyle w:val="47"/>
        <w:spacing w:before="372" w:beforeLines="80" w:after="24" w:afterLines="0"/>
        <w:jc w:val="left"/>
        <w:rPr>
          <w:rFonts w:ascii="Times New Roman"/>
          <w:snapToGrid w:val="0"/>
          <w:color w:val="auto"/>
          <w:spacing w:val="-6"/>
          <w:kern w:val="21"/>
          <w:szCs w:val="21"/>
        </w:rPr>
      </w:pPr>
      <w:r>
        <w:rPr>
          <w:rFonts w:hint="eastAsia" w:ascii="Times New Roman"/>
          <w:snapToGrid w:val="0"/>
          <w:color w:val="auto"/>
          <w:kern w:val="21"/>
          <w:szCs w:val="21"/>
        </w:rPr>
        <w:t>注：</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hint="eastAsia" w:hAnsi="宋体" w:cs="宋体"/>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hint="eastAsia" w:hAnsi="宋体" w:cs="宋体"/>
          <w:color w:val="auto"/>
          <w:szCs w:val="21"/>
        </w:rPr>
        <w:t>①</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hint="eastAsia" w:hAnsi="宋体" w:cs="宋体"/>
          <w:color w:val="auto"/>
          <w:szCs w:val="21"/>
        </w:rPr>
        <w:t>③</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hint="eastAsia" w:hAnsi="宋体" w:cs="宋体"/>
          <w:color w:val="auto"/>
          <w:szCs w:val="21"/>
        </w:rPr>
        <w:t>④</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hint="eastAsia" w:hAnsi="宋体" w:cs="宋体"/>
          <w:color w:val="auto"/>
          <w:szCs w:val="21"/>
        </w:rPr>
        <w:t>⑤</w:t>
      </w:r>
      <w:r>
        <w:rPr>
          <w:rFonts w:ascii="Times New Roman"/>
          <w:snapToGrid w:val="0"/>
          <w:color w:val="auto"/>
          <w:spacing w:val="-16"/>
          <w:kern w:val="21"/>
          <w:szCs w:val="21"/>
        </w:rPr>
        <w:fldChar w:fldCharType="end"/>
      </w:r>
      <w:r>
        <w:rPr>
          <w:rFonts w:hint="eastAsia"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hint="eastAsia" w:hAnsi="宋体" w:cs="宋体"/>
          <w:color w:val="auto"/>
          <w:szCs w:val="21"/>
        </w:rPr>
        <w:t>⑦</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hint="eastAsia" w:hAnsi="宋体" w:cs="宋体"/>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hint="eastAsia" w:hAnsi="宋体" w:cs="宋体"/>
          <w:color w:val="auto"/>
          <w:szCs w:val="21"/>
        </w:rPr>
        <w:t>①</w:t>
      </w:r>
      <w:r>
        <w:rPr>
          <w:rFonts w:ascii="Times New Roman"/>
          <w:snapToGrid w:val="0"/>
          <w:color w:val="auto"/>
          <w:spacing w:val="-6"/>
          <w:kern w:val="21"/>
          <w:szCs w:val="21"/>
        </w:rPr>
        <w:fldChar w:fldCharType="end"/>
      </w:r>
    </w:p>
    <w:sectPr>
      <w:pgSz w:w="16838" w:h="11905" w:orient="landscape"/>
      <w:pgMar w:top="1418" w:right="1418" w:bottom="1418" w:left="1418" w:header="851" w:footer="964" w:gutter="0"/>
      <w:pgBorders>
        <w:top w:val="none" w:sz="0" w:space="0"/>
        <w:left w:val="none" w:sz="0" w:space="0"/>
        <w:bottom w:val="none" w:sz="0" w:space="0"/>
        <w:right w:val="none" w:sz="0" w:space="0"/>
      </w:pgBorders>
      <w:cols w:space="720" w:num="1"/>
      <w:docGrid w:type="lines" w:linePitch="466" w:charSpace="34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仿宋_GB2312">
    <w:altName w:val="仿宋"/>
    <w:panose1 w:val="02010609030101010101"/>
    <w:charset w:val="86"/>
    <w:family w:val="auto"/>
    <w:pitch w:val="default"/>
    <w:sig w:usb0="00000000" w:usb1="0000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MingLiU">
    <w:panose1 w:val="02020509000000000000"/>
    <w:charset w:val="88"/>
    <w:family w:val="modern"/>
    <w:pitch w:val="default"/>
    <w:sig w:usb0="A00002FF" w:usb1="28CFFCFA" w:usb2="00000016" w:usb3="00000000" w:csb0="00100001" w:csb1="00000000"/>
  </w:font>
  <w:font w:name="Tahoma">
    <w:panose1 w:val="020B0604030504040204"/>
    <w:charset w:val="00"/>
    <w:family w:val="swiss"/>
    <w:pitch w:val="default"/>
    <w:sig w:usb0="E1002EFF" w:usb1="C000605B" w:usb2="00000029" w:usb3="00000000" w:csb0="200101FF" w:csb1="20280000"/>
  </w:font>
  <w:font w:name="Constantia">
    <w:panose1 w:val="02030602050306030303"/>
    <w:charset w:val="00"/>
    <w:family w:val="roman"/>
    <w:pitch w:val="default"/>
    <w:sig w:usb0="A00002EF" w:usb1="4000204B" w:usb2="00000000" w:usb3="00000000" w:csb0="2000019F" w:csb1="00000000"/>
  </w:font>
  <w:font w:name="方正小标宋_GBK">
    <w:altName w:val="Arial Unicode MS"/>
    <w:panose1 w:val="02000000000000000000"/>
    <w:charset w:val="86"/>
    <w:family w:val="script"/>
    <w:pitch w:val="default"/>
    <w:sig w:usb0="00000000" w:usb1="00000000" w:usb2="00082016" w:usb3="00000000" w:csb0="00040001" w:csb1="00000000"/>
  </w:font>
  <w:font w:name="Arial Unicode MS">
    <w:panose1 w:val="020B0604020202020204"/>
    <w:charset w:val="86"/>
    <w:family w:val="auto"/>
    <w:pitch w:val="default"/>
    <w:sig w:usb0="FFFFFFFF" w:usb1="E9FFFFFF" w:usb2="0000003F" w:usb3="00000000" w:csb0="603F01FF" w:csb1="FFFF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Pr>
      <w:pStyle w:val="18"/>
      <w:framePr w:wrap="around" w:vAnchor="text" w:hAnchor="margin" w:xAlign="center" w:y="1"/>
      <w:rPr>
        <w:rStyle w:val="29"/>
      </w:rPr>
    </w:pPr>
    <w:r>
      <w:fldChar w:fldCharType="begin"/>
    </w:r>
    <w:r>
      <w:rPr>
        <w:rStyle w:val="29"/>
      </w:rPr>
      <w:instrText xml:space="preserve">PAGE  </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- 3 -</w:t>
                          </w:r>
                          <w: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Q6KUMgBAACZAwAADgAAAGRycy9lMm9Eb2MueG1srVPNjtMwEL4j8Q6W&#10;79Rph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Jl&#10;lqcPUGPWQ8C8NNz5AZdm9gM6M+tBRZu/yIdgHMU9X8WVQyIiP1qv1usKQwJj8wXx2ePzECG9ld6S&#10;bDQ04vSKqPz0HtKYOqfkas7fa2PKBI37y4GY2cNy72OP2UrDfpgI7X17Rj49Dr6hDvecEvPOoa55&#10;R2YjzsZ+No4h6kNXlijXg3B7TNhE6S1XGGGnwjixwm7arrwSf95L1uMftf0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NEOilDIAQAAmQMAAA4AAAAAAAAAAQAgAAAAHgEAAGRycy9lMm9Eb2Mu&#10;eG1sUEsFBgAAAAAGAAYAWQEAAFgFA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- 3 -</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227"/>
  <w:drawingGridVerticalSpacing w:val="233"/>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2B7"/>
    <w:rsid w:val="00000D93"/>
    <w:rsid w:val="0000124B"/>
    <w:rsid w:val="000013E7"/>
    <w:rsid w:val="00001F9B"/>
    <w:rsid w:val="000021EC"/>
    <w:rsid w:val="0000315C"/>
    <w:rsid w:val="0000476A"/>
    <w:rsid w:val="00005239"/>
    <w:rsid w:val="00005BA3"/>
    <w:rsid w:val="000060B3"/>
    <w:rsid w:val="00006352"/>
    <w:rsid w:val="000068FF"/>
    <w:rsid w:val="00006EDD"/>
    <w:rsid w:val="00010485"/>
    <w:rsid w:val="000105A1"/>
    <w:rsid w:val="000111D7"/>
    <w:rsid w:val="000143E9"/>
    <w:rsid w:val="00015B8B"/>
    <w:rsid w:val="0001656D"/>
    <w:rsid w:val="00021E16"/>
    <w:rsid w:val="000228F6"/>
    <w:rsid w:val="0002336A"/>
    <w:rsid w:val="00024BA9"/>
    <w:rsid w:val="00024C52"/>
    <w:rsid w:val="00024E8E"/>
    <w:rsid w:val="00025CA7"/>
    <w:rsid w:val="00026B86"/>
    <w:rsid w:val="00026E10"/>
    <w:rsid w:val="0002758D"/>
    <w:rsid w:val="000304CF"/>
    <w:rsid w:val="00030977"/>
    <w:rsid w:val="00030F5E"/>
    <w:rsid w:val="0003115A"/>
    <w:rsid w:val="00032FF3"/>
    <w:rsid w:val="000335F6"/>
    <w:rsid w:val="0003402D"/>
    <w:rsid w:val="00034EF8"/>
    <w:rsid w:val="000364C0"/>
    <w:rsid w:val="0004029E"/>
    <w:rsid w:val="000403CC"/>
    <w:rsid w:val="00040C1A"/>
    <w:rsid w:val="0004172A"/>
    <w:rsid w:val="0004299F"/>
    <w:rsid w:val="00042BBF"/>
    <w:rsid w:val="00042FC4"/>
    <w:rsid w:val="0004364B"/>
    <w:rsid w:val="00043779"/>
    <w:rsid w:val="000437A5"/>
    <w:rsid w:val="00043842"/>
    <w:rsid w:val="0004429B"/>
    <w:rsid w:val="0004478A"/>
    <w:rsid w:val="00044D6A"/>
    <w:rsid w:val="00045037"/>
    <w:rsid w:val="00045742"/>
    <w:rsid w:val="00047A45"/>
    <w:rsid w:val="000541FE"/>
    <w:rsid w:val="00055D2C"/>
    <w:rsid w:val="00055DF6"/>
    <w:rsid w:val="00056B98"/>
    <w:rsid w:val="000574FF"/>
    <w:rsid w:val="00060532"/>
    <w:rsid w:val="00060698"/>
    <w:rsid w:val="00061B1F"/>
    <w:rsid w:val="000621A4"/>
    <w:rsid w:val="0006233A"/>
    <w:rsid w:val="00063EE1"/>
    <w:rsid w:val="000663FF"/>
    <w:rsid w:val="0006720B"/>
    <w:rsid w:val="000678BD"/>
    <w:rsid w:val="00067A3E"/>
    <w:rsid w:val="00067E3D"/>
    <w:rsid w:val="00071C35"/>
    <w:rsid w:val="000733C4"/>
    <w:rsid w:val="0007399B"/>
    <w:rsid w:val="00073AFF"/>
    <w:rsid w:val="0007443A"/>
    <w:rsid w:val="00074783"/>
    <w:rsid w:val="000749F7"/>
    <w:rsid w:val="00074A4E"/>
    <w:rsid w:val="00075526"/>
    <w:rsid w:val="000757F5"/>
    <w:rsid w:val="00075F9A"/>
    <w:rsid w:val="0008070B"/>
    <w:rsid w:val="000810AC"/>
    <w:rsid w:val="00081193"/>
    <w:rsid w:val="00081A02"/>
    <w:rsid w:val="00081A0A"/>
    <w:rsid w:val="00081C0B"/>
    <w:rsid w:val="00082231"/>
    <w:rsid w:val="00082BA6"/>
    <w:rsid w:val="00082F71"/>
    <w:rsid w:val="00083574"/>
    <w:rsid w:val="000845C3"/>
    <w:rsid w:val="00085007"/>
    <w:rsid w:val="00085B85"/>
    <w:rsid w:val="00086323"/>
    <w:rsid w:val="00087D37"/>
    <w:rsid w:val="00087E01"/>
    <w:rsid w:val="00090C91"/>
    <w:rsid w:val="00091B59"/>
    <w:rsid w:val="00092D38"/>
    <w:rsid w:val="000931E5"/>
    <w:rsid w:val="0009377B"/>
    <w:rsid w:val="00094A59"/>
    <w:rsid w:val="00095012"/>
    <w:rsid w:val="00095806"/>
    <w:rsid w:val="00095E86"/>
    <w:rsid w:val="00096A09"/>
    <w:rsid w:val="00096CB0"/>
    <w:rsid w:val="000A0D04"/>
    <w:rsid w:val="000A0D9E"/>
    <w:rsid w:val="000A0F30"/>
    <w:rsid w:val="000A1357"/>
    <w:rsid w:val="000A20C9"/>
    <w:rsid w:val="000A25E5"/>
    <w:rsid w:val="000A3423"/>
    <w:rsid w:val="000A3DB8"/>
    <w:rsid w:val="000A4332"/>
    <w:rsid w:val="000A526C"/>
    <w:rsid w:val="000A5974"/>
    <w:rsid w:val="000A663D"/>
    <w:rsid w:val="000A6713"/>
    <w:rsid w:val="000A6F76"/>
    <w:rsid w:val="000A78AB"/>
    <w:rsid w:val="000B058F"/>
    <w:rsid w:val="000B08C7"/>
    <w:rsid w:val="000B10B3"/>
    <w:rsid w:val="000B12D7"/>
    <w:rsid w:val="000B1670"/>
    <w:rsid w:val="000B1C71"/>
    <w:rsid w:val="000B1F0C"/>
    <w:rsid w:val="000B28E0"/>
    <w:rsid w:val="000B4467"/>
    <w:rsid w:val="000B449C"/>
    <w:rsid w:val="000B4DB9"/>
    <w:rsid w:val="000B687B"/>
    <w:rsid w:val="000B6AD6"/>
    <w:rsid w:val="000B73C8"/>
    <w:rsid w:val="000C09AC"/>
    <w:rsid w:val="000C12D0"/>
    <w:rsid w:val="000C1330"/>
    <w:rsid w:val="000C1680"/>
    <w:rsid w:val="000C1697"/>
    <w:rsid w:val="000C1B0E"/>
    <w:rsid w:val="000C21E2"/>
    <w:rsid w:val="000C2ADB"/>
    <w:rsid w:val="000C2F65"/>
    <w:rsid w:val="000C3269"/>
    <w:rsid w:val="000C345F"/>
    <w:rsid w:val="000C56A0"/>
    <w:rsid w:val="000C5B84"/>
    <w:rsid w:val="000C5DC4"/>
    <w:rsid w:val="000C62DC"/>
    <w:rsid w:val="000C767F"/>
    <w:rsid w:val="000D0A25"/>
    <w:rsid w:val="000D1779"/>
    <w:rsid w:val="000D3439"/>
    <w:rsid w:val="000D34B6"/>
    <w:rsid w:val="000D4A69"/>
    <w:rsid w:val="000D5A44"/>
    <w:rsid w:val="000D5E58"/>
    <w:rsid w:val="000D65E2"/>
    <w:rsid w:val="000D69EE"/>
    <w:rsid w:val="000D6C2B"/>
    <w:rsid w:val="000D7493"/>
    <w:rsid w:val="000D7D38"/>
    <w:rsid w:val="000E066D"/>
    <w:rsid w:val="000E077A"/>
    <w:rsid w:val="000E147C"/>
    <w:rsid w:val="000E3447"/>
    <w:rsid w:val="000E3ED2"/>
    <w:rsid w:val="000E3F0E"/>
    <w:rsid w:val="000E4227"/>
    <w:rsid w:val="000E4DEE"/>
    <w:rsid w:val="000E4E5C"/>
    <w:rsid w:val="000E5307"/>
    <w:rsid w:val="000E5B4F"/>
    <w:rsid w:val="000E6479"/>
    <w:rsid w:val="000E6B6E"/>
    <w:rsid w:val="000E6D59"/>
    <w:rsid w:val="000E714A"/>
    <w:rsid w:val="000E7CE6"/>
    <w:rsid w:val="000F02D6"/>
    <w:rsid w:val="000F0A8B"/>
    <w:rsid w:val="000F0C0B"/>
    <w:rsid w:val="000F2210"/>
    <w:rsid w:val="000F31DB"/>
    <w:rsid w:val="000F397A"/>
    <w:rsid w:val="000F3F70"/>
    <w:rsid w:val="000F600C"/>
    <w:rsid w:val="000F63B0"/>
    <w:rsid w:val="0010024F"/>
    <w:rsid w:val="0010041D"/>
    <w:rsid w:val="00100A48"/>
    <w:rsid w:val="00102403"/>
    <w:rsid w:val="001036EF"/>
    <w:rsid w:val="00104F93"/>
    <w:rsid w:val="0010543A"/>
    <w:rsid w:val="00105799"/>
    <w:rsid w:val="00105E91"/>
    <w:rsid w:val="00106699"/>
    <w:rsid w:val="00106FB5"/>
    <w:rsid w:val="00110305"/>
    <w:rsid w:val="00110D59"/>
    <w:rsid w:val="00111C84"/>
    <w:rsid w:val="00111DBA"/>
    <w:rsid w:val="00111E82"/>
    <w:rsid w:val="00113E32"/>
    <w:rsid w:val="001141D5"/>
    <w:rsid w:val="00114E1A"/>
    <w:rsid w:val="001157AD"/>
    <w:rsid w:val="00115D35"/>
    <w:rsid w:val="00116421"/>
    <w:rsid w:val="00116997"/>
    <w:rsid w:val="001173AD"/>
    <w:rsid w:val="00117C3D"/>
    <w:rsid w:val="00121390"/>
    <w:rsid w:val="0012147B"/>
    <w:rsid w:val="00121BF6"/>
    <w:rsid w:val="00123076"/>
    <w:rsid w:val="0012339F"/>
    <w:rsid w:val="00123A58"/>
    <w:rsid w:val="0012653F"/>
    <w:rsid w:val="00127562"/>
    <w:rsid w:val="00127A20"/>
    <w:rsid w:val="00127C62"/>
    <w:rsid w:val="001300A3"/>
    <w:rsid w:val="00130177"/>
    <w:rsid w:val="001306A9"/>
    <w:rsid w:val="00130E94"/>
    <w:rsid w:val="00131700"/>
    <w:rsid w:val="00131818"/>
    <w:rsid w:val="00131F42"/>
    <w:rsid w:val="00132AFB"/>
    <w:rsid w:val="00133AAF"/>
    <w:rsid w:val="00133DDF"/>
    <w:rsid w:val="001347A7"/>
    <w:rsid w:val="00135063"/>
    <w:rsid w:val="001351AA"/>
    <w:rsid w:val="001355FE"/>
    <w:rsid w:val="001357F1"/>
    <w:rsid w:val="001362AF"/>
    <w:rsid w:val="00137710"/>
    <w:rsid w:val="001403EA"/>
    <w:rsid w:val="0014061C"/>
    <w:rsid w:val="00140FA8"/>
    <w:rsid w:val="00141E72"/>
    <w:rsid w:val="00142255"/>
    <w:rsid w:val="00142536"/>
    <w:rsid w:val="001425FB"/>
    <w:rsid w:val="00142971"/>
    <w:rsid w:val="00142DB1"/>
    <w:rsid w:val="00142FEB"/>
    <w:rsid w:val="00143076"/>
    <w:rsid w:val="00143A2D"/>
    <w:rsid w:val="00143EEE"/>
    <w:rsid w:val="001442A2"/>
    <w:rsid w:val="00145499"/>
    <w:rsid w:val="0014559C"/>
    <w:rsid w:val="001457E6"/>
    <w:rsid w:val="00145A41"/>
    <w:rsid w:val="00145FEB"/>
    <w:rsid w:val="00146117"/>
    <w:rsid w:val="001462CA"/>
    <w:rsid w:val="00146F64"/>
    <w:rsid w:val="0014743F"/>
    <w:rsid w:val="001478E9"/>
    <w:rsid w:val="00147AC0"/>
    <w:rsid w:val="00150CF9"/>
    <w:rsid w:val="00151675"/>
    <w:rsid w:val="00151B8D"/>
    <w:rsid w:val="00151DF8"/>
    <w:rsid w:val="00151EF2"/>
    <w:rsid w:val="00152315"/>
    <w:rsid w:val="00152860"/>
    <w:rsid w:val="00154F6A"/>
    <w:rsid w:val="00155538"/>
    <w:rsid w:val="00155F94"/>
    <w:rsid w:val="00157435"/>
    <w:rsid w:val="0015749F"/>
    <w:rsid w:val="001614DD"/>
    <w:rsid w:val="00161613"/>
    <w:rsid w:val="0016266D"/>
    <w:rsid w:val="00162A1E"/>
    <w:rsid w:val="0016351D"/>
    <w:rsid w:val="0016386E"/>
    <w:rsid w:val="00163CB1"/>
    <w:rsid w:val="00164581"/>
    <w:rsid w:val="00164A8D"/>
    <w:rsid w:val="0016500B"/>
    <w:rsid w:val="00165AF5"/>
    <w:rsid w:val="0016657C"/>
    <w:rsid w:val="00170361"/>
    <w:rsid w:val="001713DE"/>
    <w:rsid w:val="00172FCA"/>
    <w:rsid w:val="0017380A"/>
    <w:rsid w:val="00173CFC"/>
    <w:rsid w:val="00173D9F"/>
    <w:rsid w:val="00174D78"/>
    <w:rsid w:val="0017504D"/>
    <w:rsid w:val="00175AD3"/>
    <w:rsid w:val="00176203"/>
    <w:rsid w:val="0017671A"/>
    <w:rsid w:val="00176B27"/>
    <w:rsid w:val="00176DC4"/>
    <w:rsid w:val="00177422"/>
    <w:rsid w:val="00177650"/>
    <w:rsid w:val="00177E70"/>
    <w:rsid w:val="00177FA5"/>
    <w:rsid w:val="00180182"/>
    <w:rsid w:val="0018057D"/>
    <w:rsid w:val="00180C10"/>
    <w:rsid w:val="00180EAF"/>
    <w:rsid w:val="00180F99"/>
    <w:rsid w:val="0018209A"/>
    <w:rsid w:val="001828BF"/>
    <w:rsid w:val="00182DEF"/>
    <w:rsid w:val="00184590"/>
    <w:rsid w:val="00184EAF"/>
    <w:rsid w:val="0018696A"/>
    <w:rsid w:val="00186A65"/>
    <w:rsid w:val="001870D1"/>
    <w:rsid w:val="0018733F"/>
    <w:rsid w:val="0018781E"/>
    <w:rsid w:val="00190C65"/>
    <w:rsid w:val="00190C71"/>
    <w:rsid w:val="00191700"/>
    <w:rsid w:val="00191A2F"/>
    <w:rsid w:val="00191A30"/>
    <w:rsid w:val="0019200C"/>
    <w:rsid w:val="0019262D"/>
    <w:rsid w:val="00192C9D"/>
    <w:rsid w:val="00192EB8"/>
    <w:rsid w:val="001932D3"/>
    <w:rsid w:val="00193A2B"/>
    <w:rsid w:val="00193B65"/>
    <w:rsid w:val="001944BE"/>
    <w:rsid w:val="00195173"/>
    <w:rsid w:val="001959FA"/>
    <w:rsid w:val="0019609B"/>
    <w:rsid w:val="00197F04"/>
    <w:rsid w:val="001A0389"/>
    <w:rsid w:val="001A0481"/>
    <w:rsid w:val="001A100E"/>
    <w:rsid w:val="001A159B"/>
    <w:rsid w:val="001A1A0A"/>
    <w:rsid w:val="001A1B35"/>
    <w:rsid w:val="001A205C"/>
    <w:rsid w:val="001A217A"/>
    <w:rsid w:val="001A3637"/>
    <w:rsid w:val="001A48A2"/>
    <w:rsid w:val="001A48C7"/>
    <w:rsid w:val="001A4DC4"/>
    <w:rsid w:val="001A57F5"/>
    <w:rsid w:val="001A6F61"/>
    <w:rsid w:val="001A779E"/>
    <w:rsid w:val="001A7DC6"/>
    <w:rsid w:val="001A7EEA"/>
    <w:rsid w:val="001B07D4"/>
    <w:rsid w:val="001B0A6B"/>
    <w:rsid w:val="001B0FD0"/>
    <w:rsid w:val="001B15BC"/>
    <w:rsid w:val="001B1651"/>
    <w:rsid w:val="001B16E5"/>
    <w:rsid w:val="001B2014"/>
    <w:rsid w:val="001B32A3"/>
    <w:rsid w:val="001B3584"/>
    <w:rsid w:val="001B44C5"/>
    <w:rsid w:val="001B4874"/>
    <w:rsid w:val="001B490B"/>
    <w:rsid w:val="001B72B8"/>
    <w:rsid w:val="001B7AD3"/>
    <w:rsid w:val="001C0121"/>
    <w:rsid w:val="001C03BF"/>
    <w:rsid w:val="001C0A18"/>
    <w:rsid w:val="001C0AF6"/>
    <w:rsid w:val="001C0C00"/>
    <w:rsid w:val="001C0C28"/>
    <w:rsid w:val="001C0D19"/>
    <w:rsid w:val="001C0E35"/>
    <w:rsid w:val="001C3823"/>
    <w:rsid w:val="001C3B7E"/>
    <w:rsid w:val="001C3CBB"/>
    <w:rsid w:val="001C416C"/>
    <w:rsid w:val="001C4585"/>
    <w:rsid w:val="001C4BF3"/>
    <w:rsid w:val="001C513F"/>
    <w:rsid w:val="001C51B2"/>
    <w:rsid w:val="001C652E"/>
    <w:rsid w:val="001C65A4"/>
    <w:rsid w:val="001C65CB"/>
    <w:rsid w:val="001C69B3"/>
    <w:rsid w:val="001D02C6"/>
    <w:rsid w:val="001D077B"/>
    <w:rsid w:val="001D0E0D"/>
    <w:rsid w:val="001D22B2"/>
    <w:rsid w:val="001D4F65"/>
    <w:rsid w:val="001D5595"/>
    <w:rsid w:val="001D6089"/>
    <w:rsid w:val="001D673D"/>
    <w:rsid w:val="001D6AB3"/>
    <w:rsid w:val="001D7874"/>
    <w:rsid w:val="001D79D3"/>
    <w:rsid w:val="001D7F22"/>
    <w:rsid w:val="001E05B1"/>
    <w:rsid w:val="001E14A5"/>
    <w:rsid w:val="001E32BF"/>
    <w:rsid w:val="001E52B2"/>
    <w:rsid w:val="001E572E"/>
    <w:rsid w:val="001E6128"/>
    <w:rsid w:val="001E61E8"/>
    <w:rsid w:val="001E7B1E"/>
    <w:rsid w:val="001E7E9E"/>
    <w:rsid w:val="001F0748"/>
    <w:rsid w:val="001F0885"/>
    <w:rsid w:val="001F09E9"/>
    <w:rsid w:val="001F0F17"/>
    <w:rsid w:val="001F136D"/>
    <w:rsid w:val="001F1960"/>
    <w:rsid w:val="001F1D15"/>
    <w:rsid w:val="001F2129"/>
    <w:rsid w:val="001F2FDB"/>
    <w:rsid w:val="001F3347"/>
    <w:rsid w:val="001F3D8A"/>
    <w:rsid w:val="001F62F7"/>
    <w:rsid w:val="001F69E4"/>
    <w:rsid w:val="001F7229"/>
    <w:rsid w:val="001F77D9"/>
    <w:rsid w:val="00202440"/>
    <w:rsid w:val="0020334F"/>
    <w:rsid w:val="0020368C"/>
    <w:rsid w:val="00205763"/>
    <w:rsid w:val="00205E89"/>
    <w:rsid w:val="00207328"/>
    <w:rsid w:val="00207BC1"/>
    <w:rsid w:val="00210C3D"/>
    <w:rsid w:val="002116B4"/>
    <w:rsid w:val="00211C55"/>
    <w:rsid w:val="002125B4"/>
    <w:rsid w:val="00212A8A"/>
    <w:rsid w:val="002138E8"/>
    <w:rsid w:val="00213FF0"/>
    <w:rsid w:val="00214570"/>
    <w:rsid w:val="002155B8"/>
    <w:rsid w:val="002159A0"/>
    <w:rsid w:val="002163A9"/>
    <w:rsid w:val="00216575"/>
    <w:rsid w:val="0021688F"/>
    <w:rsid w:val="002176AC"/>
    <w:rsid w:val="0021790A"/>
    <w:rsid w:val="002179E0"/>
    <w:rsid w:val="00220BDA"/>
    <w:rsid w:val="00221BF7"/>
    <w:rsid w:val="00222141"/>
    <w:rsid w:val="00222873"/>
    <w:rsid w:val="00222B9F"/>
    <w:rsid w:val="00222F29"/>
    <w:rsid w:val="00224839"/>
    <w:rsid w:val="002249B2"/>
    <w:rsid w:val="00225272"/>
    <w:rsid w:val="00226574"/>
    <w:rsid w:val="00227844"/>
    <w:rsid w:val="002278EC"/>
    <w:rsid w:val="00227934"/>
    <w:rsid w:val="002310DD"/>
    <w:rsid w:val="002312BB"/>
    <w:rsid w:val="00231F25"/>
    <w:rsid w:val="00232128"/>
    <w:rsid w:val="0023280E"/>
    <w:rsid w:val="00232E81"/>
    <w:rsid w:val="0023378B"/>
    <w:rsid w:val="00233FBC"/>
    <w:rsid w:val="002341D8"/>
    <w:rsid w:val="002343E8"/>
    <w:rsid w:val="0023682D"/>
    <w:rsid w:val="002370E8"/>
    <w:rsid w:val="0023762A"/>
    <w:rsid w:val="002377D1"/>
    <w:rsid w:val="002406F7"/>
    <w:rsid w:val="00241BF1"/>
    <w:rsid w:val="00241D38"/>
    <w:rsid w:val="00241D7A"/>
    <w:rsid w:val="002425AB"/>
    <w:rsid w:val="00242812"/>
    <w:rsid w:val="00242DA9"/>
    <w:rsid w:val="00243A15"/>
    <w:rsid w:val="00243DE6"/>
    <w:rsid w:val="00245536"/>
    <w:rsid w:val="002469FD"/>
    <w:rsid w:val="00246F35"/>
    <w:rsid w:val="00247369"/>
    <w:rsid w:val="00247FE4"/>
    <w:rsid w:val="00250480"/>
    <w:rsid w:val="002506BC"/>
    <w:rsid w:val="00250C24"/>
    <w:rsid w:val="00250F98"/>
    <w:rsid w:val="00251A7B"/>
    <w:rsid w:val="0025206A"/>
    <w:rsid w:val="00252641"/>
    <w:rsid w:val="0025360C"/>
    <w:rsid w:val="00253B95"/>
    <w:rsid w:val="00254345"/>
    <w:rsid w:val="0025588F"/>
    <w:rsid w:val="00256B15"/>
    <w:rsid w:val="00257052"/>
    <w:rsid w:val="00260BD1"/>
    <w:rsid w:val="0026105E"/>
    <w:rsid w:val="002610C2"/>
    <w:rsid w:val="00261BBC"/>
    <w:rsid w:val="0026304E"/>
    <w:rsid w:val="00264557"/>
    <w:rsid w:val="00265BDC"/>
    <w:rsid w:val="00265EEF"/>
    <w:rsid w:val="0026679A"/>
    <w:rsid w:val="00266B78"/>
    <w:rsid w:val="00267241"/>
    <w:rsid w:val="00267325"/>
    <w:rsid w:val="0027124F"/>
    <w:rsid w:val="00273FF3"/>
    <w:rsid w:val="00274CE1"/>
    <w:rsid w:val="002751FB"/>
    <w:rsid w:val="0027537A"/>
    <w:rsid w:val="002759DD"/>
    <w:rsid w:val="00275AFE"/>
    <w:rsid w:val="00277381"/>
    <w:rsid w:val="00277F30"/>
    <w:rsid w:val="002802C5"/>
    <w:rsid w:val="002805AB"/>
    <w:rsid w:val="00280744"/>
    <w:rsid w:val="00281570"/>
    <w:rsid w:val="00281778"/>
    <w:rsid w:val="0028188F"/>
    <w:rsid w:val="0028216A"/>
    <w:rsid w:val="0028244F"/>
    <w:rsid w:val="00282626"/>
    <w:rsid w:val="00283874"/>
    <w:rsid w:val="00284204"/>
    <w:rsid w:val="002848C1"/>
    <w:rsid w:val="002849FB"/>
    <w:rsid w:val="0028503E"/>
    <w:rsid w:val="00290F49"/>
    <w:rsid w:val="00291004"/>
    <w:rsid w:val="00291158"/>
    <w:rsid w:val="0029152A"/>
    <w:rsid w:val="00291773"/>
    <w:rsid w:val="00292349"/>
    <w:rsid w:val="0029248D"/>
    <w:rsid w:val="002924F2"/>
    <w:rsid w:val="00292B2B"/>
    <w:rsid w:val="00292E69"/>
    <w:rsid w:val="00293871"/>
    <w:rsid w:val="002940EA"/>
    <w:rsid w:val="002949FF"/>
    <w:rsid w:val="0029526C"/>
    <w:rsid w:val="00295A6F"/>
    <w:rsid w:val="0029729B"/>
    <w:rsid w:val="002976DE"/>
    <w:rsid w:val="002A020D"/>
    <w:rsid w:val="002A0D75"/>
    <w:rsid w:val="002A1150"/>
    <w:rsid w:val="002A168C"/>
    <w:rsid w:val="002A2540"/>
    <w:rsid w:val="002A3153"/>
    <w:rsid w:val="002A3506"/>
    <w:rsid w:val="002A3DC7"/>
    <w:rsid w:val="002A3F0D"/>
    <w:rsid w:val="002A40B9"/>
    <w:rsid w:val="002A4473"/>
    <w:rsid w:val="002A598D"/>
    <w:rsid w:val="002A6088"/>
    <w:rsid w:val="002A66EE"/>
    <w:rsid w:val="002A6900"/>
    <w:rsid w:val="002A74E0"/>
    <w:rsid w:val="002B05D5"/>
    <w:rsid w:val="002B159F"/>
    <w:rsid w:val="002B1F65"/>
    <w:rsid w:val="002B3998"/>
    <w:rsid w:val="002B49E2"/>
    <w:rsid w:val="002B4E60"/>
    <w:rsid w:val="002B535E"/>
    <w:rsid w:val="002B564C"/>
    <w:rsid w:val="002B581E"/>
    <w:rsid w:val="002B5C33"/>
    <w:rsid w:val="002B7B00"/>
    <w:rsid w:val="002B7C44"/>
    <w:rsid w:val="002B7D00"/>
    <w:rsid w:val="002C1C7C"/>
    <w:rsid w:val="002C2B17"/>
    <w:rsid w:val="002C3F55"/>
    <w:rsid w:val="002C4EAC"/>
    <w:rsid w:val="002C55B4"/>
    <w:rsid w:val="002C5677"/>
    <w:rsid w:val="002C57D0"/>
    <w:rsid w:val="002C58FA"/>
    <w:rsid w:val="002C7442"/>
    <w:rsid w:val="002C7589"/>
    <w:rsid w:val="002D0A42"/>
    <w:rsid w:val="002D0C1C"/>
    <w:rsid w:val="002D2D6D"/>
    <w:rsid w:val="002D336F"/>
    <w:rsid w:val="002D338E"/>
    <w:rsid w:val="002D35F3"/>
    <w:rsid w:val="002D3DD0"/>
    <w:rsid w:val="002D40A8"/>
    <w:rsid w:val="002D4433"/>
    <w:rsid w:val="002D58B8"/>
    <w:rsid w:val="002E14CE"/>
    <w:rsid w:val="002E1DC0"/>
    <w:rsid w:val="002E1DFC"/>
    <w:rsid w:val="002E1F3A"/>
    <w:rsid w:val="002E298A"/>
    <w:rsid w:val="002E3719"/>
    <w:rsid w:val="002E3D50"/>
    <w:rsid w:val="002E3F13"/>
    <w:rsid w:val="002E57FB"/>
    <w:rsid w:val="002E5856"/>
    <w:rsid w:val="002E613E"/>
    <w:rsid w:val="002E7707"/>
    <w:rsid w:val="002E78B8"/>
    <w:rsid w:val="002E792D"/>
    <w:rsid w:val="002F0790"/>
    <w:rsid w:val="002F2C06"/>
    <w:rsid w:val="002F2CAF"/>
    <w:rsid w:val="002F38BE"/>
    <w:rsid w:val="002F3D07"/>
    <w:rsid w:val="002F530C"/>
    <w:rsid w:val="00300645"/>
    <w:rsid w:val="00301978"/>
    <w:rsid w:val="00301C0F"/>
    <w:rsid w:val="00303017"/>
    <w:rsid w:val="0030332C"/>
    <w:rsid w:val="00303793"/>
    <w:rsid w:val="00303A3F"/>
    <w:rsid w:val="00303DEA"/>
    <w:rsid w:val="00304E69"/>
    <w:rsid w:val="0030512E"/>
    <w:rsid w:val="003051C2"/>
    <w:rsid w:val="00305D85"/>
    <w:rsid w:val="0030602D"/>
    <w:rsid w:val="003068BD"/>
    <w:rsid w:val="00306A56"/>
    <w:rsid w:val="00306F60"/>
    <w:rsid w:val="0030715A"/>
    <w:rsid w:val="003104EA"/>
    <w:rsid w:val="0031133C"/>
    <w:rsid w:val="00312296"/>
    <w:rsid w:val="00313038"/>
    <w:rsid w:val="00314530"/>
    <w:rsid w:val="00314857"/>
    <w:rsid w:val="00314E05"/>
    <w:rsid w:val="00314F0E"/>
    <w:rsid w:val="003150EC"/>
    <w:rsid w:val="00315621"/>
    <w:rsid w:val="003160E9"/>
    <w:rsid w:val="00317F6C"/>
    <w:rsid w:val="003211F3"/>
    <w:rsid w:val="00321AA3"/>
    <w:rsid w:val="00321D8E"/>
    <w:rsid w:val="003224AB"/>
    <w:rsid w:val="00323F96"/>
    <w:rsid w:val="003240FA"/>
    <w:rsid w:val="00325928"/>
    <w:rsid w:val="00325C74"/>
    <w:rsid w:val="00332863"/>
    <w:rsid w:val="00334B2B"/>
    <w:rsid w:val="0033684D"/>
    <w:rsid w:val="00336EFC"/>
    <w:rsid w:val="00337318"/>
    <w:rsid w:val="00337540"/>
    <w:rsid w:val="00337583"/>
    <w:rsid w:val="00337841"/>
    <w:rsid w:val="00337B42"/>
    <w:rsid w:val="00340BF3"/>
    <w:rsid w:val="00340CB3"/>
    <w:rsid w:val="003417A9"/>
    <w:rsid w:val="00341B42"/>
    <w:rsid w:val="00341DA0"/>
    <w:rsid w:val="00341F1F"/>
    <w:rsid w:val="003422F0"/>
    <w:rsid w:val="0034348F"/>
    <w:rsid w:val="0034471F"/>
    <w:rsid w:val="003447CD"/>
    <w:rsid w:val="003457C6"/>
    <w:rsid w:val="00345D75"/>
    <w:rsid w:val="003464CE"/>
    <w:rsid w:val="00346897"/>
    <w:rsid w:val="00346B16"/>
    <w:rsid w:val="00346EE1"/>
    <w:rsid w:val="003479BD"/>
    <w:rsid w:val="00347DA8"/>
    <w:rsid w:val="003505B8"/>
    <w:rsid w:val="00350665"/>
    <w:rsid w:val="00351907"/>
    <w:rsid w:val="00351A3A"/>
    <w:rsid w:val="003522E5"/>
    <w:rsid w:val="003526FF"/>
    <w:rsid w:val="0035389F"/>
    <w:rsid w:val="00353B88"/>
    <w:rsid w:val="00354D3B"/>
    <w:rsid w:val="00355422"/>
    <w:rsid w:val="00355A0B"/>
    <w:rsid w:val="00355BA1"/>
    <w:rsid w:val="003565CD"/>
    <w:rsid w:val="0035664F"/>
    <w:rsid w:val="00356653"/>
    <w:rsid w:val="00357238"/>
    <w:rsid w:val="003572EB"/>
    <w:rsid w:val="0035743F"/>
    <w:rsid w:val="00357690"/>
    <w:rsid w:val="00357BE2"/>
    <w:rsid w:val="003601D8"/>
    <w:rsid w:val="0036108E"/>
    <w:rsid w:val="0036170C"/>
    <w:rsid w:val="00361CFF"/>
    <w:rsid w:val="00362364"/>
    <w:rsid w:val="0036262C"/>
    <w:rsid w:val="0036499D"/>
    <w:rsid w:val="00365DC8"/>
    <w:rsid w:val="00366014"/>
    <w:rsid w:val="00366D4D"/>
    <w:rsid w:val="00366E0F"/>
    <w:rsid w:val="00366F66"/>
    <w:rsid w:val="00371291"/>
    <w:rsid w:val="00371FD8"/>
    <w:rsid w:val="0037238F"/>
    <w:rsid w:val="003723A5"/>
    <w:rsid w:val="00372D81"/>
    <w:rsid w:val="00373220"/>
    <w:rsid w:val="0037580E"/>
    <w:rsid w:val="003769E5"/>
    <w:rsid w:val="00376EDA"/>
    <w:rsid w:val="0037729A"/>
    <w:rsid w:val="003775B2"/>
    <w:rsid w:val="003803D3"/>
    <w:rsid w:val="00380C00"/>
    <w:rsid w:val="00380D83"/>
    <w:rsid w:val="003815F9"/>
    <w:rsid w:val="00381A72"/>
    <w:rsid w:val="00382D1A"/>
    <w:rsid w:val="00384676"/>
    <w:rsid w:val="00384C81"/>
    <w:rsid w:val="00384F86"/>
    <w:rsid w:val="003855B1"/>
    <w:rsid w:val="00385EDC"/>
    <w:rsid w:val="00386CCB"/>
    <w:rsid w:val="003870AF"/>
    <w:rsid w:val="00387466"/>
    <w:rsid w:val="00387A38"/>
    <w:rsid w:val="003906C1"/>
    <w:rsid w:val="00390857"/>
    <w:rsid w:val="00391157"/>
    <w:rsid w:val="0039188E"/>
    <w:rsid w:val="00391D7B"/>
    <w:rsid w:val="00391FB7"/>
    <w:rsid w:val="00392FA3"/>
    <w:rsid w:val="0039360B"/>
    <w:rsid w:val="0039367E"/>
    <w:rsid w:val="00395117"/>
    <w:rsid w:val="00395960"/>
    <w:rsid w:val="0039665E"/>
    <w:rsid w:val="00396922"/>
    <w:rsid w:val="00397F04"/>
    <w:rsid w:val="003A054B"/>
    <w:rsid w:val="003A118F"/>
    <w:rsid w:val="003A2055"/>
    <w:rsid w:val="003A270B"/>
    <w:rsid w:val="003A2D4A"/>
    <w:rsid w:val="003A4A7F"/>
    <w:rsid w:val="003A4BF3"/>
    <w:rsid w:val="003A757D"/>
    <w:rsid w:val="003A798D"/>
    <w:rsid w:val="003A7EBF"/>
    <w:rsid w:val="003A7F3A"/>
    <w:rsid w:val="003B0277"/>
    <w:rsid w:val="003B218B"/>
    <w:rsid w:val="003B24A6"/>
    <w:rsid w:val="003B2AD8"/>
    <w:rsid w:val="003B3A9A"/>
    <w:rsid w:val="003B420D"/>
    <w:rsid w:val="003B5718"/>
    <w:rsid w:val="003B58B3"/>
    <w:rsid w:val="003B6524"/>
    <w:rsid w:val="003B7F57"/>
    <w:rsid w:val="003C0E8D"/>
    <w:rsid w:val="003C10FE"/>
    <w:rsid w:val="003C1BBC"/>
    <w:rsid w:val="003C2261"/>
    <w:rsid w:val="003C3053"/>
    <w:rsid w:val="003C40F9"/>
    <w:rsid w:val="003C4407"/>
    <w:rsid w:val="003C5A04"/>
    <w:rsid w:val="003C6C16"/>
    <w:rsid w:val="003C705E"/>
    <w:rsid w:val="003C7630"/>
    <w:rsid w:val="003D0002"/>
    <w:rsid w:val="003D0909"/>
    <w:rsid w:val="003D0928"/>
    <w:rsid w:val="003D177E"/>
    <w:rsid w:val="003D1D9A"/>
    <w:rsid w:val="003D31DF"/>
    <w:rsid w:val="003D3C03"/>
    <w:rsid w:val="003D3D11"/>
    <w:rsid w:val="003D52E0"/>
    <w:rsid w:val="003D5A39"/>
    <w:rsid w:val="003D6687"/>
    <w:rsid w:val="003D7738"/>
    <w:rsid w:val="003D794D"/>
    <w:rsid w:val="003E0555"/>
    <w:rsid w:val="003E194E"/>
    <w:rsid w:val="003E1D08"/>
    <w:rsid w:val="003E24AF"/>
    <w:rsid w:val="003E2679"/>
    <w:rsid w:val="003E2C05"/>
    <w:rsid w:val="003E3058"/>
    <w:rsid w:val="003E550D"/>
    <w:rsid w:val="003E5615"/>
    <w:rsid w:val="003E5AAC"/>
    <w:rsid w:val="003E71F8"/>
    <w:rsid w:val="003E7217"/>
    <w:rsid w:val="003E7412"/>
    <w:rsid w:val="003E76A9"/>
    <w:rsid w:val="003F01BC"/>
    <w:rsid w:val="003F0809"/>
    <w:rsid w:val="003F0BFF"/>
    <w:rsid w:val="003F3307"/>
    <w:rsid w:val="003F3E95"/>
    <w:rsid w:val="003F46FD"/>
    <w:rsid w:val="003F49C4"/>
    <w:rsid w:val="003F4A9B"/>
    <w:rsid w:val="003F4AB9"/>
    <w:rsid w:val="003F615F"/>
    <w:rsid w:val="003F6A8C"/>
    <w:rsid w:val="003F755C"/>
    <w:rsid w:val="00402106"/>
    <w:rsid w:val="004028D0"/>
    <w:rsid w:val="004034C3"/>
    <w:rsid w:val="004048A4"/>
    <w:rsid w:val="00404DBE"/>
    <w:rsid w:val="00405F7D"/>
    <w:rsid w:val="004064B2"/>
    <w:rsid w:val="00406F01"/>
    <w:rsid w:val="004072F6"/>
    <w:rsid w:val="00407FD9"/>
    <w:rsid w:val="00410BE9"/>
    <w:rsid w:val="00410CF7"/>
    <w:rsid w:val="00411A00"/>
    <w:rsid w:val="004125E8"/>
    <w:rsid w:val="00412F78"/>
    <w:rsid w:val="004132A4"/>
    <w:rsid w:val="0041353B"/>
    <w:rsid w:val="00413999"/>
    <w:rsid w:val="00414F29"/>
    <w:rsid w:val="00415B2E"/>
    <w:rsid w:val="00416D50"/>
    <w:rsid w:val="00416FD5"/>
    <w:rsid w:val="00417772"/>
    <w:rsid w:val="00420301"/>
    <w:rsid w:val="0042066C"/>
    <w:rsid w:val="00420850"/>
    <w:rsid w:val="00420E6A"/>
    <w:rsid w:val="0042194C"/>
    <w:rsid w:val="00422960"/>
    <w:rsid w:val="004231DF"/>
    <w:rsid w:val="0042371B"/>
    <w:rsid w:val="0042378C"/>
    <w:rsid w:val="004245E2"/>
    <w:rsid w:val="0042539F"/>
    <w:rsid w:val="00425505"/>
    <w:rsid w:val="00425711"/>
    <w:rsid w:val="00425A9E"/>
    <w:rsid w:val="00425B18"/>
    <w:rsid w:val="00425D5C"/>
    <w:rsid w:val="00426D6B"/>
    <w:rsid w:val="00427996"/>
    <w:rsid w:val="0043028A"/>
    <w:rsid w:val="00430A47"/>
    <w:rsid w:val="00430DAF"/>
    <w:rsid w:val="0043175C"/>
    <w:rsid w:val="004317FC"/>
    <w:rsid w:val="00431E6C"/>
    <w:rsid w:val="004322A0"/>
    <w:rsid w:val="004331E9"/>
    <w:rsid w:val="00433880"/>
    <w:rsid w:val="00433CE7"/>
    <w:rsid w:val="004351B6"/>
    <w:rsid w:val="0043656B"/>
    <w:rsid w:val="00436BEC"/>
    <w:rsid w:val="00437590"/>
    <w:rsid w:val="004378D4"/>
    <w:rsid w:val="00440A1D"/>
    <w:rsid w:val="00440DFA"/>
    <w:rsid w:val="0044202B"/>
    <w:rsid w:val="004421F4"/>
    <w:rsid w:val="00442604"/>
    <w:rsid w:val="00442AD7"/>
    <w:rsid w:val="00443E54"/>
    <w:rsid w:val="00444528"/>
    <w:rsid w:val="00444E61"/>
    <w:rsid w:val="00445208"/>
    <w:rsid w:val="0044612E"/>
    <w:rsid w:val="0044617F"/>
    <w:rsid w:val="00446B58"/>
    <w:rsid w:val="00446C1E"/>
    <w:rsid w:val="00447D41"/>
    <w:rsid w:val="00447DF3"/>
    <w:rsid w:val="004500AB"/>
    <w:rsid w:val="00450565"/>
    <w:rsid w:val="00450D72"/>
    <w:rsid w:val="004512A4"/>
    <w:rsid w:val="0045162B"/>
    <w:rsid w:val="00451ECC"/>
    <w:rsid w:val="00452354"/>
    <w:rsid w:val="004524D2"/>
    <w:rsid w:val="00452738"/>
    <w:rsid w:val="00452AFA"/>
    <w:rsid w:val="00452F9D"/>
    <w:rsid w:val="00453F51"/>
    <w:rsid w:val="0045456C"/>
    <w:rsid w:val="00454E2C"/>
    <w:rsid w:val="004550BD"/>
    <w:rsid w:val="0045550E"/>
    <w:rsid w:val="004557B1"/>
    <w:rsid w:val="00455BD0"/>
    <w:rsid w:val="00455F43"/>
    <w:rsid w:val="00456091"/>
    <w:rsid w:val="00456513"/>
    <w:rsid w:val="004568E7"/>
    <w:rsid w:val="00457649"/>
    <w:rsid w:val="00457754"/>
    <w:rsid w:val="00457B98"/>
    <w:rsid w:val="00457E28"/>
    <w:rsid w:val="0046050B"/>
    <w:rsid w:val="00460639"/>
    <w:rsid w:val="004606F8"/>
    <w:rsid w:val="00460F87"/>
    <w:rsid w:val="004612EA"/>
    <w:rsid w:val="00461768"/>
    <w:rsid w:val="00461BB2"/>
    <w:rsid w:val="00462078"/>
    <w:rsid w:val="0046288C"/>
    <w:rsid w:val="00462F5D"/>
    <w:rsid w:val="00463233"/>
    <w:rsid w:val="004634BE"/>
    <w:rsid w:val="00464BB5"/>
    <w:rsid w:val="0046524E"/>
    <w:rsid w:val="0046576D"/>
    <w:rsid w:val="004659F8"/>
    <w:rsid w:val="00466321"/>
    <w:rsid w:val="004664EB"/>
    <w:rsid w:val="0046674B"/>
    <w:rsid w:val="00466897"/>
    <w:rsid w:val="00466997"/>
    <w:rsid w:val="00467173"/>
    <w:rsid w:val="0047053C"/>
    <w:rsid w:val="00470E53"/>
    <w:rsid w:val="00471564"/>
    <w:rsid w:val="0047202A"/>
    <w:rsid w:val="00472E3D"/>
    <w:rsid w:val="00472F28"/>
    <w:rsid w:val="004736B6"/>
    <w:rsid w:val="00474245"/>
    <w:rsid w:val="00474D2B"/>
    <w:rsid w:val="00474FB8"/>
    <w:rsid w:val="004757B3"/>
    <w:rsid w:val="00480698"/>
    <w:rsid w:val="00480947"/>
    <w:rsid w:val="0048094D"/>
    <w:rsid w:val="00480995"/>
    <w:rsid w:val="00481CC7"/>
    <w:rsid w:val="004829AC"/>
    <w:rsid w:val="00482CCD"/>
    <w:rsid w:val="004845DC"/>
    <w:rsid w:val="00484B9B"/>
    <w:rsid w:val="00484FFC"/>
    <w:rsid w:val="004855F6"/>
    <w:rsid w:val="00485CCC"/>
    <w:rsid w:val="00486571"/>
    <w:rsid w:val="0048661E"/>
    <w:rsid w:val="004869A5"/>
    <w:rsid w:val="0048734C"/>
    <w:rsid w:val="004879B0"/>
    <w:rsid w:val="00490006"/>
    <w:rsid w:val="00490506"/>
    <w:rsid w:val="00490D34"/>
    <w:rsid w:val="00491092"/>
    <w:rsid w:val="0049196B"/>
    <w:rsid w:val="00491BA8"/>
    <w:rsid w:val="00492CD2"/>
    <w:rsid w:val="00493DE9"/>
    <w:rsid w:val="004943F0"/>
    <w:rsid w:val="00494670"/>
    <w:rsid w:val="004960AF"/>
    <w:rsid w:val="0049708C"/>
    <w:rsid w:val="00497D58"/>
    <w:rsid w:val="004A073E"/>
    <w:rsid w:val="004A294E"/>
    <w:rsid w:val="004A29EB"/>
    <w:rsid w:val="004A2B1B"/>
    <w:rsid w:val="004A3823"/>
    <w:rsid w:val="004A42CA"/>
    <w:rsid w:val="004A4B99"/>
    <w:rsid w:val="004A4BFE"/>
    <w:rsid w:val="004A4D56"/>
    <w:rsid w:val="004A4E89"/>
    <w:rsid w:val="004A576C"/>
    <w:rsid w:val="004A5A1F"/>
    <w:rsid w:val="004A5E5A"/>
    <w:rsid w:val="004A6B8D"/>
    <w:rsid w:val="004A70FA"/>
    <w:rsid w:val="004A750A"/>
    <w:rsid w:val="004B06F1"/>
    <w:rsid w:val="004B366E"/>
    <w:rsid w:val="004B433D"/>
    <w:rsid w:val="004B5A18"/>
    <w:rsid w:val="004B7234"/>
    <w:rsid w:val="004C083F"/>
    <w:rsid w:val="004C09CB"/>
    <w:rsid w:val="004C0B4C"/>
    <w:rsid w:val="004C0DDB"/>
    <w:rsid w:val="004C0FA8"/>
    <w:rsid w:val="004C10CB"/>
    <w:rsid w:val="004C172B"/>
    <w:rsid w:val="004C1AE6"/>
    <w:rsid w:val="004C2C70"/>
    <w:rsid w:val="004C355B"/>
    <w:rsid w:val="004C448E"/>
    <w:rsid w:val="004C5C15"/>
    <w:rsid w:val="004C5D24"/>
    <w:rsid w:val="004C694F"/>
    <w:rsid w:val="004C69C5"/>
    <w:rsid w:val="004C6D3F"/>
    <w:rsid w:val="004C71D6"/>
    <w:rsid w:val="004C77A0"/>
    <w:rsid w:val="004C7E75"/>
    <w:rsid w:val="004D0272"/>
    <w:rsid w:val="004D0303"/>
    <w:rsid w:val="004D0872"/>
    <w:rsid w:val="004D2702"/>
    <w:rsid w:val="004D2DE8"/>
    <w:rsid w:val="004D41C6"/>
    <w:rsid w:val="004D41D2"/>
    <w:rsid w:val="004D4E8D"/>
    <w:rsid w:val="004D5BEC"/>
    <w:rsid w:val="004D5FF6"/>
    <w:rsid w:val="004D75A6"/>
    <w:rsid w:val="004D7930"/>
    <w:rsid w:val="004D7C67"/>
    <w:rsid w:val="004E0131"/>
    <w:rsid w:val="004E0E3A"/>
    <w:rsid w:val="004E1E29"/>
    <w:rsid w:val="004E311C"/>
    <w:rsid w:val="004E3A93"/>
    <w:rsid w:val="004E3E48"/>
    <w:rsid w:val="004E4BF7"/>
    <w:rsid w:val="004E529B"/>
    <w:rsid w:val="004E6946"/>
    <w:rsid w:val="004E6C92"/>
    <w:rsid w:val="004E7E39"/>
    <w:rsid w:val="004F001E"/>
    <w:rsid w:val="004F0498"/>
    <w:rsid w:val="004F10ED"/>
    <w:rsid w:val="004F13DB"/>
    <w:rsid w:val="004F1AD8"/>
    <w:rsid w:val="004F1F6B"/>
    <w:rsid w:val="004F211D"/>
    <w:rsid w:val="004F279A"/>
    <w:rsid w:val="004F2DA6"/>
    <w:rsid w:val="004F3C02"/>
    <w:rsid w:val="004F62AD"/>
    <w:rsid w:val="00501729"/>
    <w:rsid w:val="00501ED1"/>
    <w:rsid w:val="00502957"/>
    <w:rsid w:val="005039CB"/>
    <w:rsid w:val="00503F68"/>
    <w:rsid w:val="005042EF"/>
    <w:rsid w:val="00504A68"/>
    <w:rsid w:val="0050534B"/>
    <w:rsid w:val="0050546F"/>
    <w:rsid w:val="005054C4"/>
    <w:rsid w:val="0050558F"/>
    <w:rsid w:val="00506286"/>
    <w:rsid w:val="005065BA"/>
    <w:rsid w:val="005072B9"/>
    <w:rsid w:val="00507583"/>
    <w:rsid w:val="00507D71"/>
    <w:rsid w:val="00510300"/>
    <w:rsid w:val="00510813"/>
    <w:rsid w:val="00511990"/>
    <w:rsid w:val="00511CBC"/>
    <w:rsid w:val="00511DE0"/>
    <w:rsid w:val="00511FDD"/>
    <w:rsid w:val="00512F5C"/>
    <w:rsid w:val="00514870"/>
    <w:rsid w:val="00514B9B"/>
    <w:rsid w:val="00514EB6"/>
    <w:rsid w:val="005154FB"/>
    <w:rsid w:val="00515A34"/>
    <w:rsid w:val="0051609E"/>
    <w:rsid w:val="00516C9F"/>
    <w:rsid w:val="00517139"/>
    <w:rsid w:val="005171AB"/>
    <w:rsid w:val="00517D54"/>
    <w:rsid w:val="00517F02"/>
    <w:rsid w:val="005212AB"/>
    <w:rsid w:val="005216A0"/>
    <w:rsid w:val="0052196D"/>
    <w:rsid w:val="00522178"/>
    <w:rsid w:val="00523F23"/>
    <w:rsid w:val="00524176"/>
    <w:rsid w:val="00524242"/>
    <w:rsid w:val="00524303"/>
    <w:rsid w:val="0052483E"/>
    <w:rsid w:val="00524E16"/>
    <w:rsid w:val="005258A2"/>
    <w:rsid w:val="00525ED4"/>
    <w:rsid w:val="00526769"/>
    <w:rsid w:val="00527034"/>
    <w:rsid w:val="0052704B"/>
    <w:rsid w:val="005274C3"/>
    <w:rsid w:val="0053019D"/>
    <w:rsid w:val="00530347"/>
    <w:rsid w:val="00530465"/>
    <w:rsid w:val="0053455C"/>
    <w:rsid w:val="00535A62"/>
    <w:rsid w:val="00536BD7"/>
    <w:rsid w:val="00536C41"/>
    <w:rsid w:val="00536D22"/>
    <w:rsid w:val="005401AE"/>
    <w:rsid w:val="00540324"/>
    <w:rsid w:val="0054046C"/>
    <w:rsid w:val="005424A5"/>
    <w:rsid w:val="00542561"/>
    <w:rsid w:val="0054298D"/>
    <w:rsid w:val="00542E07"/>
    <w:rsid w:val="005432E0"/>
    <w:rsid w:val="00543FA7"/>
    <w:rsid w:val="00544393"/>
    <w:rsid w:val="00545424"/>
    <w:rsid w:val="005457F7"/>
    <w:rsid w:val="00547892"/>
    <w:rsid w:val="005503D8"/>
    <w:rsid w:val="005505C7"/>
    <w:rsid w:val="00551CEF"/>
    <w:rsid w:val="005524AC"/>
    <w:rsid w:val="005533DA"/>
    <w:rsid w:val="005537B6"/>
    <w:rsid w:val="005538FF"/>
    <w:rsid w:val="00553E60"/>
    <w:rsid w:val="00554A7B"/>
    <w:rsid w:val="00554B98"/>
    <w:rsid w:val="00554BA3"/>
    <w:rsid w:val="0055548F"/>
    <w:rsid w:val="0055572C"/>
    <w:rsid w:val="00555A22"/>
    <w:rsid w:val="00555AA3"/>
    <w:rsid w:val="00555E10"/>
    <w:rsid w:val="005567DD"/>
    <w:rsid w:val="00556F4A"/>
    <w:rsid w:val="00557F4C"/>
    <w:rsid w:val="0056002F"/>
    <w:rsid w:val="00560CBA"/>
    <w:rsid w:val="0056106A"/>
    <w:rsid w:val="0056150E"/>
    <w:rsid w:val="00562537"/>
    <w:rsid w:val="005628F7"/>
    <w:rsid w:val="00563A5E"/>
    <w:rsid w:val="00564019"/>
    <w:rsid w:val="00564C4D"/>
    <w:rsid w:val="00564F85"/>
    <w:rsid w:val="005656A2"/>
    <w:rsid w:val="00565879"/>
    <w:rsid w:val="0056605F"/>
    <w:rsid w:val="005661BE"/>
    <w:rsid w:val="0056728E"/>
    <w:rsid w:val="0056776B"/>
    <w:rsid w:val="005677EF"/>
    <w:rsid w:val="005679F1"/>
    <w:rsid w:val="00570527"/>
    <w:rsid w:val="0057117D"/>
    <w:rsid w:val="005712BB"/>
    <w:rsid w:val="00571A81"/>
    <w:rsid w:val="005720AE"/>
    <w:rsid w:val="005722B6"/>
    <w:rsid w:val="00573146"/>
    <w:rsid w:val="00573256"/>
    <w:rsid w:val="00573796"/>
    <w:rsid w:val="00573D81"/>
    <w:rsid w:val="005744E1"/>
    <w:rsid w:val="00574621"/>
    <w:rsid w:val="00574C07"/>
    <w:rsid w:val="00576604"/>
    <w:rsid w:val="00577265"/>
    <w:rsid w:val="00581931"/>
    <w:rsid w:val="0058343C"/>
    <w:rsid w:val="0058353D"/>
    <w:rsid w:val="005841FE"/>
    <w:rsid w:val="00584A18"/>
    <w:rsid w:val="00584B73"/>
    <w:rsid w:val="005853DC"/>
    <w:rsid w:val="005857B1"/>
    <w:rsid w:val="00585CD2"/>
    <w:rsid w:val="0058687D"/>
    <w:rsid w:val="00587C7D"/>
    <w:rsid w:val="005900EE"/>
    <w:rsid w:val="00590885"/>
    <w:rsid w:val="0059122B"/>
    <w:rsid w:val="00592297"/>
    <w:rsid w:val="0059255F"/>
    <w:rsid w:val="00592AD9"/>
    <w:rsid w:val="00593D1B"/>
    <w:rsid w:val="00594D77"/>
    <w:rsid w:val="0059567E"/>
    <w:rsid w:val="0059639D"/>
    <w:rsid w:val="0059643C"/>
    <w:rsid w:val="005969E4"/>
    <w:rsid w:val="00597BAB"/>
    <w:rsid w:val="005A06B7"/>
    <w:rsid w:val="005A0A1E"/>
    <w:rsid w:val="005A163C"/>
    <w:rsid w:val="005A1649"/>
    <w:rsid w:val="005A1759"/>
    <w:rsid w:val="005A1E14"/>
    <w:rsid w:val="005A21E3"/>
    <w:rsid w:val="005A2DD2"/>
    <w:rsid w:val="005A310F"/>
    <w:rsid w:val="005A454C"/>
    <w:rsid w:val="005A48A9"/>
    <w:rsid w:val="005A49B8"/>
    <w:rsid w:val="005A59C1"/>
    <w:rsid w:val="005A6486"/>
    <w:rsid w:val="005A68A7"/>
    <w:rsid w:val="005A7830"/>
    <w:rsid w:val="005B0662"/>
    <w:rsid w:val="005B251F"/>
    <w:rsid w:val="005B333A"/>
    <w:rsid w:val="005B4460"/>
    <w:rsid w:val="005B4543"/>
    <w:rsid w:val="005B4C54"/>
    <w:rsid w:val="005B4D96"/>
    <w:rsid w:val="005B5042"/>
    <w:rsid w:val="005B5775"/>
    <w:rsid w:val="005B6FF8"/>
    <w:rsid w:val="005B7164"/>
    <w:rsid w:val="005B73DD"/>
    <w:rsid w:val="005B7D4D"/>
    <w:rsid w:val="005C0427"/>
    <w:rsid w:val="005C06A4"/>
    <w:rsid w:val="005C13EE"/>
    <w:rsid w:val="005C1C45"/>
    <w:rsid w:val="005C42DF"/>
    <w:rsid w:val="005C55CE"/>
    <w:rsid w:val="005C58BC"/>
    <w:rsid w:val="005C71F2"/>
    <w:rsid w:val="005D0B41"/>
    <w:rsid w:val="005D12A5"/>
    <w:rsid w:val="005D1388"/>
    <w:rsid w:val="005D1A50"/>
    <w:rsid w:val="005D2010"/>
    <w:rsid w:val="005D216A"/>
    <w:rsid w:val="005D36AB"/>
    <w:rsid w:val="005D38E9"/>
    <w:rsid w:val="005D524B"/>
    <w:rsid w:val="005D53A8"/>
    <w:rsid w:val="005D57F6"/>
    <w:rsid w:val="005D5EE0"/>
    <w:rsid w:val="005D6E3B"/>
    <w:rsid w:val="005D6FC0"/>
    <w:rsid w:val="005D712E"/>
    <w:rsid w:val="005D7947"/>
    <w:rsid w:val="005D7B94"/>
    <w:rsid w:val="005D7E70"/>
    <w:rsid w:val="005E040B"/>
    <w:rsid w:val="005E25AF"/>
    <w:rsid w:val="005E2CE3"/>
    <w:rsid w:val="005E33DE"/>
    <w:rsid w:val="005E3416"/>
    <w:rsid w:val="005E35F5"/>
    <w:rsid w:val="005E380C"/>
    <w:rsid w:val="005E4248"/>
    <w:rsid w:val="005E4EAE"/>
    <w:rsid w:val="005E5904"/>
    <w:rsid w:val="005E6182"/>
    <w:rsid w:val="005F118C"/>
    <w:rsid w:val="005F18CE"/>
    <w:rsid w:val="005F261C"/>
    <w:rsid w:val="005F2B73"/>
    <w:rsid w:val="005F358F"/>
    <w:rsid w:val="005F42D8"/>
    <w:rsid w:val="005F455F"/>
    <w:rsid w:val="005F5C65"/>
    <w:rsid w:val="005F629B"/>
    <w:rsid w:val="005F64C2"/>
    <w:rsid w:val="005F68F0"/>
    <w:rsid w:val="005F692D"/>
    <w:rsid w:val="005F6FA5"/>
    <w:rsid w:val="005F7598"/>
    <w:rsid w:val="005F7D24"/>
    <w:rsid w:val="0060135B"/>
    <w:rsid w:val="006030CA"/>
    <w:rsid w:val="006034B8"/>
    <w:rsid w:val="00603AEA"/>
    <w:rsid w:val="00603C60"/>
    <w:rsid w:val="00604FF0"/>
    <w:rsid w:val="006052CE"/>
    <w:rsid w:val="006053F9"/>
    <w:rsid w:val="006056A3"/>
    <w:rsid w:val="006067BD"/>
    <w:rsid w:val="00607C1C"/>
    <w:rsid w:val="00610730"/>
    <w:rsid w:val="00611883"/>
    <w:rsid w:val="00611AC3"/>
    <w:rsid w:val="006122BF"/>
    <w:rsid w:val="00612FB0"/>
    <w:rsid w:val="006144D7"/>
    <w:rsid w:val="006176A8"/>
    <w:rsid w:val="00617AD6"/>
    <w:rsid w:val="00617CC3"/>
    <w:rsid w:val="006204D6"/>
    <w:rsid w:val="00621381"/>
    <w:rsid w:val="006218DD"/>
    <w:rsid w:val="00621CA9"/>
    <w:rsid w:val="00622090"/>
    <w:rsid w:val="006228EC"/>
    <w:rsid w:val="00623761"/>
    <w:rsid w:val="006242CD"/>
    <w:rsid w:val="00624472"/>
    <w:rsid w:val="00624B75"/>
    <w:rsid w:val="0062541E"/>
    <w:rsid w:val="006256EA"/>
    <w:rsid w:val="00625887"/>
    <w:rsid w:val="0062595C"/>
    <w:rsid w:val="00626B4B"/>
    <w:rsid w:val="00626C52"/>
    <w:rsid w:val="00627F99"/>
    <w:rsid w:val="00630983"/>
    <w:rsid w:val="00630B8D"/>
    <w:rsid w:val="00631AF1"/>
    <w:rsid w:val="00632693"/>
    <w:rsid w:val="00633B69"/>
    <w:rsid w:val="00633F19"/>
    <w:rsid w:val="00636350"/>
    <w:rsid w:val="00636D9E"/>
    <w:rsid w:val="0063763C"/>
    <w:rsid w:val="006377A6"/>
    <w:rsid w:val="00637A3D"/>
    <w:rsid w:val="00637B3F"/>
    <w:rsid w:val="00640173"/>
    <w:rsid w:val="006402F8"/>
    <w:rsid w:val="006411EF"/>
    <w:rsid w:val="00643384"/>
    <w:rsid w:val="006449E8"/>
    <w:rsid w:val="006460E5"/>
    <w:rsid w:val="00646CBC"/>
    <w:rsid w:val="00650007"/>
    <w:rsid w:val="00650272"/>
    <w:rsid w:val="006505AA"/>
    <w:rsid w:val="006518FE"/>
    <w:rsid w:val="00652D88"/>
    <w:rsid w:val="00653B80"/>
    <w:rsid w:val="00653B92"/>
    <w:rsid w:val="00654E35"/>
    <w:rsid w:val="00655730"/>
    <w:rsid w:val="00656E0F"/>
    <w:rsid w:val="0065744D"/>
    <w:rsid w:val="006574C8"/>
    <w:rsid w:val="006576BA"/>
    <w:rsid w:val="00657A3C"/>
    <w:rsid w:val="00661045"/>
    <w:rsid w:val="00661157"/>
    <w:rsid w:val="006641CF"/>
    <w:rsid w:val="0066738D"/>
    <w:rsid w:val="0067030C"/>
    <w:rsid w:val="00670650"/>
    <w:rsid w:val="0067246E"/>
    <w:rsid w:val="00672E4D"/>
    <w:rsid w:val="006730E8"/>
    <w:rsid w:val="006730F2"/>
    <w:rsid w:val="006748B8"/>
    <w:rsid w:val="00674D68"/>
    <w:rsid w:val="00676416"/>
    <w:rsid w:val="00676C6C"/>
    <w:rsid w:val="006775C3"/>
    <w:rsid w:val="00677912"/>
    <w:rsid w:val="00677FEA"/>
    <w:rsid w:val="006806CA"/>
    <w:rsid w:val="00681BA2"/>
    <w:rsid w:val="006820ED"/>
    <w:rsid w:val="00682B46"/>
    <w:rsid w:val="0068335B"/>
    <w:rsid w:val="00683CB1"/>
    <w:rsid w:val="00683DF9"/>
    <w:rsid w:val="00684060"/>
    <w:rsid w:val="00684EA2"/>
    <w:rsid w:val="006854DF"/>
    <w:rsid w:val="00685BF2"/>
    <w:rsid w:val="0068620A"/>
    <w:rsid w:val="006876C8"/>
    <w:rsid w:val="00687FEF"/>
    <w:rsid w:val="006900FA"/>
    <w:rsid w:val="006907F0"/>
    <w:rsid w:val="00691966"/>
    <w:rsid w:val="006926D9"/>
    <w:rsid w:val="006928F4"/>
    <w:rsid w:val="0069290A"/>
    <w:rsid w:val="00694103"/>
    <w:rsid w:val="00694A92"/>
    <w:rsid w:val="006952FC"/>
    <w:rsid w:val="00695C26"/>
    <w:rsid w:val="0069672A"/>
    <w:rsid w:val="006968D0"/>
    <w:rsid w:val="0069775A"/>
    <w:rsid w:val="00697813"/>
    <w:rsid w:val="006A01A7"/>
    <w:rsid w:val="006A029D"/>
    <w:rsid w:val="006A1A64"/>
    <w:rsid w:val="006A1AA6"/>
    <w:rsid w:val="006A1FF7"/>
    <w:rsid w:val="006A278F"/>
    <w:rsid w:val="006A3267"/>
    <w:rsid w:val="006A3488"/>
    <w:rsid w:val="006A3EE8"/>
    <w:rsid w:val="006A48E7"/>
    <w:rsid w:val="006A4C01"/>
    <w:rsid w:val="006A5580"/>
    <w:rsid w:val="006A5A55"/>
    <w:rsid w:val="006A6028"/>
    <w:rsid w:val="006A6131"/>
    <w:rsid w:val="006A63BD"/>
    <w:rsid w:val="006A72BF"/>
    <w:rsid w:val="006A7E2D"/>
    <w:rsid w:val="006B03F2"/>
    <w:rsid w:val="006B0CD5"/>
    <w:rsid w:val="006B23F4"/>
    <w:rsid w:val="006B37DC"/>
    <w:rsid w:val="006B3C39"/>
    <w:rsid w:val="006B43F3"/>
    <w:rsid w:val="006B47B1"/>
    <w:rsid w:val="006B4F68"/>
    <w:rsid w:val="006B52E5"/>
    <w:rsid w:val="006B533C"/>
    <w:rsid w:val="006B5EEF"/>
    <w:rsid w:val="006B6AC3"/>
    <w:rsid w:val="006B6E59"/>
    <w:rsid w:val="006B6F1D"/>
    <w:rsid w:val="006B7094"/>
    <w:rsid w:val="006B71A2"/>
    <w:rsid w:val="006B7A23"/>
    <w:rsid w:val="006B7C1E"/>
    <w:rsid w:val="006C01B5"/>
    <w:rsid w:val="006C03DB"/>
    <w:rsid w:val="006C0592"/>
    <w:rsid w:val="006C092C"/>
    <w:rsid w:val="006C1C35"/>
    <w:rsid w:val="006C272E"/>
    <w:rsid w:val="006C33C1"/>
    <w:rsid w:val="006C3602"/>
    <w:rsid w:val="006C3E56"/>
    <w:rsid w:val="006C3FC5"/>
    <w:rsid w:val="006C4587"/>
    <w:rsid w:val="006C519F"/>
    <w:rsid w:val="006C545D"/>
    <w:rsid w:val="006C5479"/>
    <w:rsid w:val="006C7C9F"/>
    <w:rsid w:val="006D0061"/>
    <w:rsid w:val="006D02F1"/>
    <w:rsid w:val="006D13B5"/>
    <w:rsid w:val="006D3BEF"/>
    <w:rsid w:val="006D4324"/>
    <w:rsid w:val="006D51CE"/>
    <w:rsid w:val="006D5F24"/>
    <w:rsid w:val="006D5F8C"/>
    <w:rsid w:val="006D64F6"/>
    <w:rsid w:val="006D68A0"/>
    <w:rsid w:val="006D6B89"/>
    <w:rsid w:val="006D75A4"/>
    <w:rsid w:val="006D7D4C"/>
    <w:rsid w:val="006D7F08"/>
    <w:rsid w:val="006E12FF"/>
    <w:rsid w:val="006E15EF"/>
    <w:rsid w:val="006E178C"/>
    <w:rsid w:val="006E2477"/>
    <w:rsid w:val="006E2E81"/>
    <w:rsid w:val="006E3725"/>
    <w:rsid w:val="006E4546"/>
    <w:rsid w:val="006E5862"/>
    <w:rsid w:val="006E607E"/>
    <w:rsid w:val="006E640D"/>
    <w:rsid w:val="006E745E"/>
    <w:rsid w:val="006F08BB"/>
    <w:rsid w:val="006F09DF"/>
    <w:rsid w:val="006F144F"/>
    <w:rsid w:val="006F23DD"/>
    <w:rsid w:val="006F34FE"/>
    <w:rsid w:val="006F3575"/>
    <w:rsid w:val="006F4649"/>
    <w:rsid w:val="006F6EB0"/>
    <w:rsid w:val="006F7291"/>
    <w:rsid w:val="006F79C2"/>
    <w:rsid w:val="00700430"/>
    <w:rsid w:val="00700E0B"/>
    <w:rsid w:val="00701505"/>
    <w:rsid w:val="007017CE"/>
    <w:rsid w:val="00702D44"/>
    <w:rsid w:val="00703033"/>
    <w:rsid w:val="00703422"/>
    <w:rsid w:val="00704C46"/>
    <w:rsid w:val="00704CF0"/>
    <w:rsid w:val="0070505A"/>
    <w:rsid w:val="00705123"/>
    <w:rsid w:val="007058CE"/>
    <w:rsid w:val="00706342"/>
    <w:rsid w:val="00706BF2"/>
    <w:rsid w:val="00706C5D"/>
    <w:rsid w:val="00706FA9"/>
    <w:rsid w:val="007070CA"/>
    <w:rsid w:val="00707DF8"/>
    <w:rsid w:val="00710020"/>
    <w:rsid w:val="00710B9B"/>
    <w:rsid w:val="00712FA5"/>
    <w:rsid w:val="00716444"/>
    <w:rsid w:val="00716CBE"/>
    <w:rsid w:val="007207A4"/>
    <w:rsid w:val="00721246"/>
    <w:rsid w:val="00721B80"/>
    <w:rsid w:val="00722518"/>
    <w:rsid w:val="007225FD"/>
    <w:rsid w:val="00722839"/>
    <w:rsid w:val="007233E9"/>
    <w:rsid w:val="00726D3E"/>
    <w:rsid w:val="00732922"/>
    <w:rsid w:val="0073353E"/>
    <w:rsid w:val="00733D18"/>
    <w:rsid w:val="00734BF1"/>
    <w:rsid w:val="007362B0"/>
    <w:rsid w:val="00736313"/>
    <w:rsid w:val="007370A1"/>
    <w:rsid w:val="0073742A"/>
    <w:rsid w:val="007416DA"/>
    <w:rsid w:val="0074208A"/>
    <w:rsid w:val="007425C9"/>
    <w:rsid w:val="00744447"/>
    <w:rsid w:val="00745A38"/>
    <w:rsid w:val="00745CCA"/>
    <w:rsid w:val="00745DBE"/>
    <w:rsid w:val="00746BDB"/>
    <w:rsid w:val="00746E12"/>
    <w:rsid w:val="0074753A"/>
    <w:rsid w:val="007476AE"/>
    <w:rsid w:val="007479B6"/>
    <w:rsid w:val="00750387"/>
    <w:rsid w:val="00750649"/>
    <w:rsid w:val="00750B3C"/>
    <w:rsid w:val="00750CC0"/>
    <w:rsid w:val="00750D8F"/>
    <w:rsid w:val="00750DBB"/>
    <w:rsid w:val="00751472"/>
    <w:rsid w:val="0075162E"/>
    <w:rsid w:val="0075182C"/>
    <w:rsid w:val="00751B4C"/>
    <w:rsid w:val="00751F0C"/>
    <w:rsid w:val="00752AA9"/>
    <w:rsid w:val="00753481"/>
    <w:rsid w:val="00753F77"/>
    <w:rsid w:val="00754034"/>
    <w:rsid w:val="007542C7"/>
    <w:rsid w:val="0075490C"/>
    <w:rsid w:val="0075593B"/>
    <w:rsid w:val="00756556"/>
    <w:rsid w:val="0075734B"/>
    <w:rsid w:val="00757AB9"/>
    <w:rsid w:val="00757E7D"/>
    <w:rsid w:val="007600E1"/>
    <w:rsid w:val="00760619"/>
    <w:rsid w:val="00760905"/>
    <w:rsid w:val="00761289"/>
    <w:rsid w:val="00761682"/>
    <w:rsid w:val="007618C4"/>
    <w:rsid w:val="00761E4C"/>
    <w:rsid w:val="007626FC"/>
    <w:rsid w:val="00762FBE"/>
    <w:rsid w:val="007655D7"/>
    <w:rsid w:val="00766E31"/>
    <w:rsid w:val="00766E6E"/>
    <w:rsid w:val="00767980"/>
    <w:rsid w:val="007706A3"/>
    <w:rsid w:val="00770B19"/>
    <w:rsid w:val="00770C3D"/>
    <w:rsid w:val="00770F15"/>
    <w:rsid w:val="00771159"/>
    <w:rsid w:val="007721CE"/>
    <w:rsid w:val="00773EFA"/>
    <w:rsid w:val="0077463F"/>
    <w:rsid w:val="007754C3"/>
    <w:rsid w:val="00775594"/>
    <w:rsid w:val="00775AC4"/>
    <w:rsid w:val="00776597"/>
    <w:rsid w:val="00776683"/>
    <w:rsid w:val="007767D2"/>
    <w:rsid w:val="007775E0"/>
    <w:rsid w:val="00777856"/>
    <w:rsid w:val="00780719"/>
    <w:rsid w:val="0078212C"/>
    <w:rsid w:val="007836EA"/>
    <w:rsid w:val="00783C68"/>
    <w:rsid w:val="00783CCA"/>
    <w:rsid w:val="007841B1"/>
    <w:rsid w:val="00784A10"/>
    <w:rsid w:val="00784CDA"/>
    <w:rsid w:val="007856D2"/>
    <w:rsid w:val="0078604E"/>
    <w:rsid w:val="00786B9E"/>
    <w:rsid w:val="00786C18"/>
    <w:rsid w:val="007870CF"/>
    <w:rsid w:val="00787784"/>
    <w:rsid w:val="0078799B"/>
    <w:rsid w:val="007906C4"/>
    <w:rsid w:val="00791F5A"/>
    <w:rsid w:val="0079275D"/>
    <w:rsid w:val="00793348"/>
    <w:rsid w:val="00793951"/>
    <w:rsid w:val="007940EA"/>
    <w:rsid w:val="00794221"/>
    <w:rsid w:val="007942B4"/>
    <w:rsid w:val="00795A33"/>
    <w:rsid w:val="00795E74"/>
    <w:rsid w:val="007967E8"/>
    <w:rsid w:val="00796830"/>
    <w:rsid w:val="007969CB"/>
    <w:rsid w:val="00796A8F"/>
    <w:rsid w:val="00796F18"/>
    <w:rsid w:val="00797DE3"/>
    <w:rsid w:val="007A2170"/>
    <w:rsid w:val="007A22BF"/>
    <w:rsid w:val="007A2ACB"/>
    <w:rsid w:val="007A3323"/>
    <w:rsid w:val="007A3653"/>
    <w:rsid w:val="007A45B3"/>
    <w:rsid w:val="007A50A1"/>
    <w:rsid w:val="007A5285"/>
    <w:rsid w:val="007A52B5"/>
    <w:rsid w:val="007A5A1C"/>
    <w:rsid w:val="007A5A46"/>
    <w:rsid w:val="007A62F4"/>
    <w:rsid w:val="007B0790"/>
    <w:rsid w:val="007B17BB"/>
    <w:rsid w:val="007B18B8"/>
    <w:rsid w:val="007B1C96"/>
    <w:rsid w:val="007B2627"/>
    <w:rsid w:val="007B2AE6"/>
    <w:rsid w:val="007B36C7"/>
    <w:rsid w:val="007B4172"/>
    <w:rsid w:val="007B4E19"/>
    <w:rsid w:val="007B53B4"/>
    <w:rsid w:val="007B54BE"/>
    <w:rsid w:val="007B6304"/>
    <w:rsid w:val="007B6366"/>
    <w:rsid w:val="007B70B4"/>
    <w:rsid w:val="007B72B8"/>
    <w:rsid w:val="007B75CC"/>
    <w:rsid w:val="007B77A2"/>
    <w:rsid w:val="007B7A58"/>
    <w:rsid w:val="007B7E4F"/>
    <w:rsid w:val="007B7FF1"/>
    <w:rsid w:val="007C14F7"/>
    <w:rsid w:val="007C19FD"/>
    <w:rsid w:val="007C20ED"/>
    <w:rsid w:val="007C21B5"/>
    <w:rsid w:val="007C2C7F"/>
    <w:rsid w:val="007C32F4"/>
    <w:rsid w:val="007C3DCC"/>
    <w:rsid w:val="007C4B1C"/>
    <w:rsid w:val="007C4EE5"/>
    <w:rsid w:val="007C54F2"/>
    <w:rsid w:val="007C5606"/>
    <w:rsid w:val="007C588C"/>
    <w:rsid w:val="007C61FB"/>
    <w:rsid w:val="007C6E28"/>
    <w:rsid w:val="007C79F4"/>
    <w:rsid w:val="007D0A2E"/>
    <w:rsid w:val="007D237B"/>
    <w:rsid w:val="007D23D4"/>
    <w:rsid w:val="007D55A6"/>
    <w:rsid w:val="007D57EB"/>
    <w:rsid w:val="007D62C9"/>
    <w:rsid w:val="007D6874"/>
    <w:rsid w:val="007D6F6C"/>
    <w:rsid w:val="007D75D2"/>
    <w:rsid w:val="007D7FF1"/>
    <w:rsid w:val="007E05D8"/>
    <w:rsid w:val="007E0B0D"/>
    <w:rsid w:val="007E1714"/>
    <w:rsid w:val="007E1E2D"/>
    <w:rsid w:val="007E24DB"/>
    <w:rsid w:val="007E257D"/>
    <w:rsid w:val="007E276D"/>
    <w:rsid w:val="007E2926"/>
    <w:rsid w:val="007E363B"/>
    <w:rsid w:val="007E3CDB"/>
    <w:rsid w:val="007E4BD2"/>
    <w:rsid w:val="007E5B33"/>
    <w:rsid w:val="007E6C53"/>
    <w:rsid w:val="007E7528"/>
    <w:rsid w:val="007E7C72"/>
    <w:rsid w:val="007F0D06"/>
    <w:rsid w:val="007F107A"/>
    <w:rsid w:val="007F17D1"/>
    <w:rsid w:val="007F21F8"/>
    <w:rsid w:val="007F2336"/>
    <w:rsid w:val="007F3032"/>
    <w:rsid w:val="007F541D"/>
    <w:rsid w:val="007F5602"/>
    <w:rsid w:val="007F6490"/>
    <w:rsid w:val="007F7569"/>
    <w:rsid w:val="00801393"/>
    <w:rsid w:val="00801EAA"/>
    <w:rsid w:val="00802A29"/>
    <w:rsid w:val="00802F88"/>
    <w:rsid w:val="0080366E"/>
    <w:rsid w:val="00803923"/>
    <w:rsid w:val="0080417C"/>
    <w:rsid w:val="0080446E"/>
    <w:rsid w:val="00804648"/>
    <w:rsid w:val="00805052"/>
    <w:rsid w:val="008052C2"/>
    <w:rsid w:val="0080571D"/>
    <w:rsid w:val="008065B8"/>
    <w:rsid w:val="00810311"/>
    <w:rsid w:val="00810E94"/>
    <w:rsid w:val="0081208D"/>
    <w:rsid w:val="0081293E"/>
    <w:rsid w:val="00813040"/>
    <w:rsid w:val="00813067"/>
    <w:rsid w:val="00813159"/>
    <w:rsid w:val="00813365"/>
    <w:rsid w:val="0081336D"/>
    <w:rsid w:val="008133A0"/>
    <w:rsid w:val="0081502A"/>
    <w:rsid w:val="00815465"/>
    <w:rsid w:val="008154C7"/>
    <w:rsid w:val="0081571A"/>
    <w:rsid w:val="00815DEA"/>
    <w:rsid w:val="00817E9A"/>
    <w:rsid w:val="00817EC5"/>
    <w:rsid w:val="00820831"/>
    <w:rsid w:val="00821A40"/>
    <w:rsid w:val="008228FE"/>
    <w:rsid w:val="00823B5B"/>
    <w:rsid w:val="00823CDA"/>
    <w:rsid w:val="008245C9"/>
    <w:rsid w:val="008257B0"/>
    <w:rsid w:val="00827E0A"/>
    <w:rsid w:val="00830103"/>
    <w:rsid w:val="008306BD"/>
    <w:rsid w:val="0083074E"/>
    <w:rsid w:val="008309A6"/>
    <w:rsid w:val="00831A80"/>
    <w:rsid w:val="00831BB9"/>
    <w:rsid w:val="00832907"/>
    <w:rsid w:val="008335B0"/>
    <w:rsid w:val="00833743"/>
    <w:rsid w:val="008340A4"/>
    <w:rsid w:val="00834322"/>
    <w:rsid w:val="008347A8"/>
    <w:rsid w:val="008347AB"/>
    <w:rsid w:val="008348E9"/>
    <w:rsid w:val="00835BC7"/>
    <w:rsid w:val="00836CB2"/>
    <w:rsid w:val="00837E83"/>
    <w:rsid w:val="00840169"/>
    <w:rsid w:val="00840856"/>
    <w:rsid w:val="00841100"/>
    <w:rsid w:val="0084189A"/>
    <w:rsid w:val="00843883"/>
    <w:rsid w:val="008445DF"/>
    <w:rsid w:val="00844D94"/>
    <w:rsid w:val="008454BE"/>
    <w:rsid w:val="00847F5A"/>
    <w:rsid w:val="008503F3"/>
    <w:rsid w:val="00850ABC"/>
    <w:rsid w:val="00850E0C"/>
    <w:rsid w:val="00851CC3"/>
    <w:rsid w:val="0085263A"/>
    <w:rsid w:val="0085374F"/>
    <w:rsid w:val="00854590"/>
    <w:rsid w:val="00854B45"/>
    <w:rsid w:val="00855B8F"/>
    <w:rsid w:val="00855C92"/>
    <w:rsid w:val="008567C9"/>
    <w:rsid w:val="0085746D"/>
    <w:rsid w:val="008579EA"/>
    <w:rsid w:val="00860259"/>
    <w:rsid w:val="00860D96"/>
    <w:rsid w:val="008617B8"/>
    <w:rsid w:val="00861EE3"/>
    <w:rsid w:val="00861F5C"/>
    <w:rsid w:val="00862056"/>
    <w:rsid w:val="0086362F"/>
    <w:rsid w:val="008642EB"/>
    <w:rsid w:val="0086595F"/>
    <w:rsid w:val="008670B6"/>
    <w:rsid w:val="0086726D"/>
    <w:rsid w:val="00867EF1"/>
    <w:rsid w:val="00867F3E"/>
    <w:rsid w:val="00870B50"/>
    <w:rsid w:val="0087135F"/>
    <w:rsid w:val="008717AC"/>
    <w:rsid w:val="008721B5"/>
    <w:rsid w:val="00872D94"/>
    <w:rsid w:val="00872F6C"/>
    <w:rsid w:val="00873458"/>
    <w:rsid w:val="0087604C"/>
    <w:rsid w:val="00876153"/>
    <w:rsid w:val="00876F28"/>
    <w:rsid w:val="00880364"/>
    <w:rsid w:val="0088117F"/>
    <w:rsid w:val="00882FA5"/>
    <w:rsid w:val="0088316D"/>
    <w:rsid w:val="008849AB"/>
    <w:rsid w:val="00885220"/>
    <w:rsid w:val="00885F06"/>
    <w:rsid w:val="00886EEE"/>
    <w:rsid w:val="008872FD"/>
    <w:rsid w:val="00887810"/>
    <w:rsid w:val="008878DC"/>
    <w:rsid w:val="00891592"/>
    <w:rsid w:val="00891792"/>
    <w:rsid w:val="00891C92"/>
    <w:rsid w:val="00891E9E"/>
    <w:rsid w:val="0089225F"/>
    <w:rsid w:val="00893090"/>
    <w:rsid w:val="008947F5"/>
    <w:rsid w:val="00894D59"/>
    <w:rsid w:val="008955AA"/>
    <w:rsid w:val="008958F3"/>
    <w:rsid w:val="00896077"/>
    <w:rsid w:val="008962C2"/>
    <w:rsid w:val="00896D8F"/>
    <w:rsid w:val="008A04F3"/>
    <w:rsid w:val="008A0A7F"/>
    <w:rsid w:val="008A19A7"/>
    <w:rsid w:val="008A1DFB"/>
    <w:rsid w:val="008A2C86"/>
    <w:rsid w:val="008A2F68"/>
    <w:rsid w:val="008A35E1"/>
    <w:rsid w:val="008A374D"/>
    <w:rsid w:val="008A41BA"/>
    <w:rsid w:val="008A4B22"/>
    <w:rsid w:val="008A5865"/>
    <w:rsid w:val="008A6773"/>
    <w:rsid w:val="008A79AA"/>
    <w:rsid w:val="008B00CC"/>
    <w:rsid w:val="008B08F6"/>
    <w:rsid w:val="008B16C1"/>
    <w:rsid w:val="008B278F"/>
    <w:rsid w:val="008B289C"/>
    <w:rsid w:val="008B2A93"/>
    <w:rsid w:val="008B37FA"/>
    <w:rsid w:val="008B3A5C"/>
    <w:rsid w:val="008B493E"/>
    <w:rsid w:val="008B4B9C"/>
    <w:rsid w:val="008B4FA6"/>
    <w:rsid w:val="008B50F5"/>
    <w:rsid w:val="008B51B3"/>
    <w:rsid w:val="008B5282"/>
    <w:rsid w:val="008B57F4"/>
    <w:rsid w:val="008B593B"/>
    <w:rsid w:val="008B7C17"/>
    <w:rsid w:val="008C09AE"/>
    <w:rsid w:val="008C0B1A"/>
    <w:rsid w:val="008C187C"/>
    <w:rsid w:val="008C2064"/>
    <w:rsid w:val="008C20EC"/>
    <w:rsid w:val="008C283C"/>
    <w:rsid w:val="008C2D01"/>
    <w:rsid w:val="008C3197"/>
    <w:rsid w:val="008C331E"/>
    <w:rsid w:val="008C3AEC"/>
    <w:rsid w:val="008C40E6"/>
    <w:rsid w:val="008C61AF"/>
    <w:rsid w:val="008C62A0"/>
    <w:rsid w:val="008C6A8F"/>
    <w:rsid w:val="008D059D"/>
    <w:rsid w:val="008D0F7A"/>
    <w:rsid w:val="008D0FE8"/>
    <w:rsid w:val="008D1379"/>
    <w:rsid w:val="008D16B3"/>
    <w:rsid w:val="008D2D7C"/>
    <w:rsid w:val="008D2E0B"/>
    <w:rsid w:val="008D3104"/>
    <w:rsid w:val="008D3E54"/>
    <w:rsid w:val="008D406A"/>
    <w:rsid w:val="008D408D"/>
    <w:rsid w:val="008D68E4"/>
    <w:rsid w:val="008D7446"/>
    <w:rsid w:val="008D755D"/>
    <w:rsid w:val="008E0506"/>
    <w:rsid w:val="008E0CFF"/>
    <w:rsid w:val="008E1011"/>
    <w:rsid w:val="008E17B5"/>
    <w:rsid w:val="008E2550"/>
    <w:rsid w:val="008E28E5"/>
    <w:rsid w:val="008E2BBF"/>
    <w:rsid w:val="008E3BEA"/>
    <w:rsid w:val="008E4391"/>
    <w:rsid w:val="008E43F6"/>
    <w:rsid w:val="008E4703"/>
    <w:rsid w:val="008E4B20"/>
    <w:rsid w:val="008E4BC6"/>
    <w:rsid w:val="008E5D6B"/>
    <w:rsid w:val="008E76F0"/>
    <w:rsid w:val="008E7B62"/>
    <w:rsid w:val="008F044B"/>
    <w:rsid w:val="008F14F6"/>
    <w:rsid w:val="008F15FE"/>
    <w:rsid w:val="008F1895"/>
    <w:rsid w:val="008F1964"/>
    <w:rsid w:val="008F1D69"/>
    <w:rsid w:val="008F299A"/>
    <w:rsid w:val="008F2D29"/>
    <w:rsid w:val="008F3150"/>
    <w:rsid w:val="008F33A9"/>
    <w:rsid w:val="008F3532"/>
    <w:rsid w:val="008F3C77"/>
    <w:rsid w:val="008F5187"/>
    <w:rsid w:val="008F5F01"/>
    <w:rsid w:val="008F60D8"/>
    <w:rsid w:val="009017DF"/>
    <w:rsid w:val="00901AF2"/>
    <w:rsid w:val="00901F09"/>
    <w:rsid w:val="009025E0"/>
    <w:rsid w:val="00902727"/>
    <w:rsid w:val="0090312B"/>
    <w:rsid w:val="009034E5"/>
    <w:rsid w:val="009049AE"/>
    <w:rsid w:val="00904E56"/>
    <w:rsid w:val="009064A8"/>
    <w:rsid w:val="00906E13"/>
    <w:rsid w:val="00906FC0"/>
    <w:rsid w:val="009102F5"/>
    <w:rsid w:val="009108EC"/>
    <w:rsid w:val="00911E30"/>
    <w:rsid w:val="00912CAF"/>
    <w:rsid w:val="009140E9"/>
    <w:rsid w:val="009141D7"/>
    <w:rsid w:val="00914311"/>
    <w:rsid w:val="00914544"/>
    <w:rsid w:val="00914E4A"/>
    <w:rsid w:val="009153DB"/>
    <w:rsid w:val="009160D2"/>
    <w:rsid w:val="00916458"/>
    <w:rsid w:val="0091736D"/>
    <w:rsid w:val="009173F2"/>
    <w:rsid w:val="00917CA2"/>
    <w:rsid w:val="009212B8"/>
    <w:rsid w:val="00921640"/>
    <w:rsid w:val="00921FEA"/>
    <w:rsid w:val="009224DD"/>
    <w:rsid w:val="0092326D"/>
    <w:rsid w:val="00923B51"/>
    <w:rsid w:val="00923E5F"/>
    <w:rsid w:val="009254AB"/>
    <w:rsid w:val="00926992"/>
    <w:rsid w:val="0093037A"/>
    <w:rsid w:val="00930DA1"/>
    <w:rsid w:val="009311BE"/>
    <w:rsid w:val="009313F1"/>
    <w:rsid w:val="009317C6"/>
    <w:rsid w:val="00931E09"/>
    <w:rsid w:val="00932449"/>
    <w:rsid w:val="0093423E"/>
    <w:rsid w:val="00934619"/>
    <w:rsid w:val="00935510"/>
    <w:rsid w:val="00935597"/>
    <w:rsid w:val="00935E38"/>
    <w:rsid w:val="00935F20"/>
    <w:rsid w:val="00935F91"/>
    <w:rsid w:val="0093623B"/>
    <w:rsid w:val="0093668A"/>
    <w:rsid w:val="00937501"/>
    <w:rsid w:val="00937DE3"/>
    <w:rsid w:val="009403D7"/>
    <w:rsid w:val="00940857"/>
    <w:rsid w:val="00940FA0"/>
    <w:rsid w:val="0094154D"/>
    <w:rsid w:val="009415C1"/>
    <w:rsid w:val="009422AA"/>
    <w:rsid w:val="009426ED"/>
    <w:rsid w:val="00943510"/>
    <w:rsid w:val="009437DE"/>
    <w:rsid w:val="00943852"/>
    <w:rsid w:val="00944375"/>
    <w:rsid w:val="00944CFC"/>
    <w:rsid w:val="00944D7E"/>
    <w:rsid w:val="0094544D"/>
    <w:rsid w:val="009456E2"/>
    <w:rsid w:val="00946239"/>
    <w:rsid w:val="00950A4B"/>
    <w:rsid w:val="00950F95"/>
    <w:rsid w:val="0095155F"/>
    <w:rsid w:val="00953B50"/>
    <w:rsid w:val="00954429"/>
    <w:rsid w:val="00954815"/>
    <w:rsid w:val="009549A1"/>
    <w:rsid w:val="00954C9B"/>
    <w:rsid w:val="0095596C"/>
    <w:rsid w:val="00955D15"/>
    <w:rsid w:val="00955E98"/>
    <w:rsid w:val="00956344"/>
    <w:rsid w:val="009563CE"/>
    <w:rsid w:val="00956F31"/>
    <w:rsid w:val="0096057D"/>
    <w:rsid w:val="00960A15"/>
    <w:rsid w:val="00960EBE"/>
    <w:rsid w:val="00960FFC"/>
    <w:rsid w:val="009611D9"/>
    <w:rsid w:val="00961382"/>
    <w:rsid w:val="00962561"/>
    <w:rsid w:val="00962C77"/>
    <w:rsid w:val="00965757"/>
    <w:rsid w:val="009657D5"/>
    <w:rsid w:val="00965ADE"/>
    <w:rsid w:val="00965B54"/>
    <w:rsid w:val="00965CF7"/>
    <w:rsid w:val="00966122"/>
    <w:rsid w:val="00966E84"/>
    <w:rsid w:val="00967260"/>
    <w:rsid w:val="00967AD7"/>
    <w:rsid w:val="00972F56"/>
    <w:rsid w:val="00973594"/>
    <w:rsid w:val="00973B95"/>
    <w:rsid w:val="00973DE9"/>
    <w:rsid w:val="00974BE6"/>
    <w:rsid w:val="00974C29"/>
    <w:rsid w:val="009759B5"/>
    <w:rsid w:val="0097627E"/>
    <w:rsid w:val="00976328"/>
    <w:rsid w:val="0097680D"/>
    <w:rsid w:val="009771E1"/>
    <w:rsid w:val="00977FC3"/>
    <w:rsid w:val="009814F8"/>
    <w:rsid w:val="009816B1"/>
    <w:rsid w:val="00982438"/>
    <w:rsid w:val="00982FDE"/>
    <w:rsid w:val="0098330F"/>
    <w:rsid w:val="00983C48"/>
    <w:rsid w:val="0098404C"/>
    <w:rsid w:val="00985283"/>
    <w:rsid w:val="00985B35"/>
    <w:rsid w:val="0098654F"/>
    <w:rsid w:val="009866FD"/>
    <w:rsid w:val="00986A0B"/>
    <w:rsid w:val="00986CE7"/>
    <w:rsid w:val="00991050"/>
    <w:rsid w:val="00991FEA"/>
    <w:rsid w:val="009924A4"/>
    <w:rsid w:val="00992C3F"/>
    <w:rsid w:val="00993139"/>
    <w:rsid w:val="00993236"/>
    <w:rsid w:val="009938E1"/>
    <w:rsid w:val="00993E3F"/>
    <w:rsid w:val="00994632"/>
    <w:rsid w:val="00994CA3"/>
    <w:rsid w:val="0099520E"/>
    <w:rsid w:val="009952AD"/>
    <w:rsid w:val="00995876"/>
    <w:rsid w:val="00995992"/>
    <w:rsid w:val="00995E23"/>
    <w:rsid w:val="009965A6"/>
    <w:rsid w:val="0099685A"/>
    <w:rsid w:val="009A03E5"/>
    <w:rsid w:val="009A05A6"/>
    <w:rsid w:val="009A0A40"/>
    <w:rsid w:val="009A0F3B"/>
    <w:rsid w:val="009A12C0"/>
    <w:rsid w:val="009A1509"/>
    <w:rsid w:val="009A1BB4"/>
    <w:rsid w:val="009A1FB8"/>
    <w:rsid w:val="009A2628"/>
    <w:rsid w:val="009A3200"/>
    <w:rsid w:val="009A4354"/>
    <w:rsid w:val="009A43C8"/>
    <w:rsid w:val="009A4800"/>
    <w:rsid w:val="009A5C16"/>
    <w:rsid w:val="009A5E88"/>
    <w:rsid w:val="009A62DB"/>
    <w:rsid w:val="009A65BE"/>
    <w:rsid w:val="009A6CF6"/>
    <w:rsid w:val="009B0897"/>
    <w:rsid w:val="009B0A9A"/>
    <w:rsid w:val="009B3630"/>
    <w:rsid w:val="009B3C9A"/>
    <w:rsid w:val="009B3D0E"/>
    <w:rsid w:val="009B409B"/>
    <w:rsid w:val="009B446F"/>
    <w:rsid w:val="009B4827"/>
    <w:rsid w:val="009B578F"/>
    <w:rsid w:val="009B5EA4"/>
    <w:rsid w:val="009B6E58"/>
    <w:rsid w:val="009B7536"/>
    <w:rsid w:val="009B770B"/>
    <w:rsid w:val="009B7BD9"/>
    <w:rsid w:val="009B7E2D"/>
    <w:rsid w:val="009C008F"/>
    <w:rsid w:val="009C0953"/>
    <w:rsid w:val="009C36EB"/>
    <w:rsid w:val="009C3908"/>
    <w:rsid w:val="009C3E2F"/>
    <w:rsid w:val="009C4680"/>
    <w:rsid w:val="009C51CF"/>
    <w:rsid w:val="009C67EC"/>
    <w:rsid w:val="009C6B5F"/>
    <w:rsid w:val="009C6D12"/>
    <w:rsid w:val="009C70CA"/>
    <w:rsid w:val="009C771C"/>
    <w:rsid w:val="009C7DD5"/>
    <w:rsid w:val="009D02C6"/>
    <w:rsid w:val="009D181F"/>
    <w:rsid w:val="009D1F59"/>
    <w:rsid w:val="009D2395"/>
    <w:rsid w:val="009D33D7"/>
    <w:rsid w:val="009D3D9E"/>
    <w:rsid w:val="009D3FCB"/>
    <w:rsid w:val="009D437A"/>
    <w:rsid w:val="009D4B2D"/>
    <w:rsid w:val="009D5629"/>
    <w:rsid w:val="009D5745"/>
    <w:rsid w:val="009D5ADC"/>
    <w:rsid w:val="009D5F97"/>
    <w:rsid w:val="009D6157"/>
    <w:rsid w:val="009D6A1F"/>
    <w:rsid w:val="009D7E44"/>
    <w:rsid w:val="009E0126"/>
    <w:rsid w:val="009E12ED"/>
    <w:rsid w:val="009E2018"/>
    <w:rsid w:val="009E227D"/>
    <w:rsid w:val="009E24A3"/>
    <w:rsid w:val="009E3360"/>
    <w:rsid w:val="009E376A"/>
    <w:rsid w:val="009E4935"/>
    <w:rsid w:val="009E4BB4"/>
    <w:rsid w:val="009E5019"/>
    <w:rsid w:val="009E5AC5"/>
    <w:rsid w:val="009E6244"/>
    <w:rsid w:val="009E6EE6"/>
    <w:rsid w:val="009E7B25"/>
    <w:rsid w:val="009F0D19"/>
    <w:rsid w:val="009F3310"/>
    <w:rsid w:val="009F44B2"/>
    <w:rsid w:val="009F48FA"/>
    <w:rsid w:val="009F4C00"/>
    <w:rsid w:val="009F5515"/>
    <w:rsid w:val="009F5D22"/>
    <w:rsid w:val="009F6DB4"/>
    <w:rsid w:val="009F765E"/>
    <w:rsid w:val="009F79CC"/>
    <w:rsid w:val="009F7FD9"/>
    <w:rsid w:val="00A00167"/>
    <w:rsid w:val="00A006C0"/>
    <w:rsid w:val="00A0286E"/>
    <w:rsid w:val="00A02F82"/>
    <w:rsid w:val="00A032E3"/>
    <w:rsid w:val="00A033D2"/>
    <w:rsid w:val="00A034A1"/>
    <w:rsid w:val="00A04F1B"/>
    <w:rsid w:val="00A0501B"/>
    <w:rsid w:val="00A05ED6"/>
    <w:rsid w:val="00A05F93"/>
    <w:rsid w:val="00A060F9"/>
    <w:rsid w:val="00A06AFF"/>
    <w:rsid w:val="00A06E0D"/>
    <w:rsid w:val="00A0750B"/>
    <w:rsid w:val="00A07E38"/>
    <w:rsid w:val="00A106C0"/>
    <w:rsid w:val="00A109BB"/>
    <w:rsid w:val="00A10C9F"/>
    <w:rsid w:val="00A10D80"/>
    <w:rsid w:val="00A1150A"/>
    <w:rsid w:val="00A115E4"/>
    <w:rsid w:val="00A11919"/>
    <w:rsid w:val="00A1193C"/>
    <w:rsid w:val="00A121DF"/>
    <w:rsid w:val="00A12318"/>
    <w:rsid w:val="00A125CE"/>
    <w:rsid w:val="00A13E8B"/>
    <w:rsid w:val="00A14947"/>
    <w:rsid w:val="00A14ADA"/>
    <w:rsid w:val="00A14E25"/>
    <w:rsid w:val="00A14EA9"/>
    <w:rsid w:val="00A154CE"/>
    <w:rsid w:val="00A164F8"/>
    <w:rsid w:val="00A16635"/>
    <w:rsid w:val="00A16C72"/>
    <w:rsid w:val="00A16F79"/>
    <w:rsid w:val="00A2009B"/>
    <w:rsid w:val="00A2070B"/>
    <w:rsid w:val="00A21C83"/>
    <w:rsid w:val="00A21F1B"/>
    <w:rsid w:val="00A21F74"/>
    <w:rsid w:val="00A22CE8"/>
    <w:rsid w:val="00A22FA9"/>
    <w:rsid w:val="00A23443"/>
    <w:rsid w:val="00A24606"/>
    <w:rsid w:val="00A24E17"/>
    <w:rsid w:val="00A2549B"/>
    <w:rsid w:val="00A270E3"/>
    <w:rsid w:val="00A307F6"/>
    <w:rsid w:val="00A30DCC"/>
    <w:rsid w:val="00A318D1"/>
    <w:rsid w:val="00A32A83"/>
    <w:rsid w:val="00A32E3B"/>
    <w:rsid w:val="00A3422A"/>
    <w:rsid w:val="00A368DB"/>
    <w:rsid w:val="00A3694E"/>
    <w:rsid w:val="00A37569"/>
    <w:rsid w:val="00A37A8A"/>
    <w:rsid w:val="00A4067F"/>
    <w:rsid w:val="00A423AA"/>
    <w:rsid w:val="00A424FB"/>
    <w:rsid w:val="00A431E5"/>
    <w:rsid w:val="00A450AF"/>
    <w:rsid w:val="00A455D6"/>
    <w:rsid w:val="00A46975"/>
    <w:rsid w:val="00A477C6"/>
    <w:rsid w:val="00A478E7"/>
    <w:rsid w:val="00A47CD6"/>
    <w:rsid w:val="00A5099B"/>
    <w:rsid w:val="00A50B6D"/>
    <w:rsid w:val="00A5135F"/>
    <w:rsid w:val="00A521BA"/>
    <w:rsid w:val="00A52F5B"/>
    <w:rsid w:val="00A537BE"/>
    <w:rsid w:val="00A53EC6"/>
    <w:rsid w:val="00A53FDF"/>
    <w:rsid w:val="00A54422"/>
    <w:rsid w:val="00A54B23"/>
    <w:rsid w:val="00A55662"/>
    <w:rsid w:val="00A55C0F"/>
    <w:rsid w:val="00A55FC2"/>
    <w:rsid w:val="00A5635A"/>
    <w:rsid w:val="00A57B47"/>
    <w:rsid w:val="00A57DA0"/>
    <w:rsid w:val="00A57DAA"/>
    <w:rsid w:val="00A60806"/>
    <w:rsid w:val="00A6161C"/>
    <w:rsid w:val="00A617D9"/>
    <w:rsid w:val="00A62161"/>
    <w:rsid w:val="00A62506"/>
    <w:rsid w:val="00A63023"/>
    <w:rsid w:val="00A64395"/>
    <w:rsid w:val="00A643D9"/>
    <w:rsid w:val="00A6441C"/>
    <w:rsid w:val="00A644AE"/>
    <w:rsid w:val="00A64F6C"/>
    <w:rsid w:val="00A6584E"/>
    <w:rsid w:val="00A66A87"/>
    <w:rsid w:val="00A66EA9"/>
    <w:rsid w:val="00A66FF8"/>
    <w:rsid w:val="00A67D4E"/>
    <w:rsid w:val="00A70365"/>
    <w:rsid w:val="00A72CF5"/>
    <w:rsid w:val="00A72EDB"/>
    <w:rsid w:val="00A72F73"/>
    <w:rsid w:val="00A73329"/>
    <w:rsid w:val="00A73E50"/>
    <w:rsid w:val="00A751CA"/>
    <w:rsid w:val="00A7559F"/>
    <w:rsid w:val="00A75BF2"/>
    <w:rsid w:val="00A778C5"/>
    <w:rsid w:val="00A778DF"/>
    <w:rsid w:val="00A77CC6"/>
    <w:rsid w:val="00A829AE"/>
    <w:rsid w:val="00A82CFB"/>
    <w:rsid w:val="00A82E23"/>
    <w:rsid w:val="00A833C8"/>
    <w:rsid w:val="00A85636"/>
    <w:rsid w:val="00A8615E"/>
    <w:rsid w:val="00A86347"/>
    <w:rsid w:val="00A870D4"/>
    <w:rsid w:val="00A8713F"/>
    <w:rsid w:val="00A874DB"/>
    <w:rsid w:val="00A90AA0"/>
    <w:rsid w:val="00A90B72"/>
    <w:rsid w:val="00A90BA1"/>
    <w:rsid w:val="00A913E6"/>
    <w:rsid w:val="00A92597"/>
    <w:rsid w:val="00A92B75"/>
    <w:rsid w:val="00A93438"/>
    <w:rsid w:val="00A93547"/>
    <w:rsid w:val="00A93FD8"/>
    <w:rsid w:val="00A94A3C"/>
    <w:rsid w:val="00A95AC7"/>
    <w:rsid w:val="00A966B8"/>
    <w:rsid w:val="00A97A9A"/>
    <w:rsid w:val="00AA0671"/>
    <w:rsid w:val="00AA2121"/>
    <w:rsid w:val="00AA24F4"/>
    <w:rsid w:val="00AA2531"/>
    <w:rsid w:val="00AA2662"/>
    <w:rsid w:val="00AA2912"/>
    <w:rsid w:val="00AA2DC0"/>
    <w:rsid w:val="00AA2DD5"/>
    <w:rsid w:val="00AA3016"/>
    <w:rsid w:val="00AA324B"/>
    <w:rsid w:val="00AA32AE"/>
    <w:rsid w:val="00AA3671"/>
    <w:rsid w:val="00AA373C"/>
    <w:rsid w:val="00AA3862"/>
    <w:rsid w:val="00AA3DD4"/>
    <w:rsid w:val="00AA56DA"/>
    <w:rsid w:val="00AA5A45"/>
    <w:rsid w:val="00AA65B8"/>
    <w:rsid w:val="00AA6A61"/>
    <w:rsid w:val="00AA6C76"/>
    <w:rsid w:val="00AA782F"/>
    <w:rsid w:val="00AB0A1E"/>
    <w:rsid w:val="00AB0BC4"/>
    <w:rsid w:val="00AB0F4D"/>
    <w:rsid w:val="00AB1E09"/>
    <w:rsid w:val="00AB23EB"/>
    <w:rsid w:val="00AB2410"/>
    <w:rsid w:val="00AB273C"/>
    <w:rsid w:val="00AB29F6"/>
    <w:rsid w:val="00AB4611"/>
    <w:rsid w:val="00AB5330"/>
    <w:rsid w:val="00AB5632"/>
    <w:rsid w:val="00AB58B4"/>
    <w:rsid w:val="00AB5CC7"/>
    <w:rsid w:val="00AB6BC9"/>
    <w:rsid w:val="00AB7384"/>
    <w:rsid w:val="00AB7747"/>
    <w:rsid w:val="00AB7F71"/>
    <w:rsid w:val="00AC0D3A"/>
    <w:rsid w:val="00AC14CE"/>
    <w:rsid w:val="00AC1F05"/>
    <w:rsid w:val="00AC2790"/>
    <w:rsid w:val="00AC2A56"/>
    <w:rsid w:val="00AC2CB6"/>
    <w:rsid w:val="00AC41EA"/>
    <w:rsid w:val="00AC57FB"/>
    <w:rsid w:val="00AD055E"/>
    <w:rsid w:val="00AD1022"/>
    <w:rsid w:val="00AD1316"/>
    <w:rsid w:val="00AD15B4"/>
    <w:rsid w:val="00AD225E"/>
    <w:rsid w:val="00AD309F"/>
    <w:rsid w:val="00AD35DB"/>
    <w:rsid w:val="00AD3769"/>
    <w:rsid w:val="00AD4128"/>
    <w:rsid w:val="00AD47A7"/>
    <w:rsid w:val="00AD62E3"/>
    <w:rsid w:val="00AD6E4E"/>
    <w:rsid w:val="00AD7707"/>
    <w:rsid w:val="00AE0106"/>
    <w:rsid w:val="00AE08F5"/>
    <w:rsid w:val="00AE0C47"/>
    <w:rsid w:val="00AE0FC4"/>
    <w:rsid w:val="00AE214E"/>
    <w:rsid w:val="00AE2BED"/>
    <w:rsid w:val="00AE2CE4"/>
    <w:rsid w:val="00AE3D1A"/>
    <w:rsid w:val="00AE4072"/>
    <w:rsid w:val="00AE41E4"/>
    <w:rsid w:val="00AE45C4"/>
    <w:rsid w:val="00AE46F1"/>
    <w:rsid w:val="00AE4828"/>
    <w:rsid w:val="00AE48BE"/>
    <w:rsid w:val="00AE48CE"/>
    <w:rsid w:val="00AE4AAE"/>
    <w:rsid w:val="00AE5341"/>
    <w:rsid w:val="00AE5613"/>
    <w:rsid w:val="00AE6715"/>
    <w:rsid w:val="00AE77CD"/>
    <w:rsid w:val="00AF0923"/>
    <w:rsid w:val="00AF09CF"/>
    <w:rsid w:val="00AF0A8A"/>
    <w:rsid w:val="00AF0CBF"/>
    <w:rsid w:val="00AF23EE"/>
    <w:rsid w:val="00AF257F"/>
    <w:rsid w:val="00AF33CF"/>
    <w:rsid w:val="00AF3F86"/>
    <w:rsid w:val="00AF4D50"/>
    <w:rsid w:val="00AF5618"/>
    <w:rsid w:val="00AF6179"/>
    <w:rsid w:val="00AF6755"/>
    <w:rsid w:val="00AF687B"/>
    <w:rsid w:val="00B00FA8"/>
    <w:rsid w:val="00B01B8E"/>
    <w:rsid w:val="00B02659"/>
    <w:rsid w:val="00B033B5"/>
    <w:rsid w:val="00B0360C"/>
    <w:rsid w:val="00B04029"/>
    <w:rsid w:val="00B045F1"/>
    <w:rsid w:val="00B05E5E"/>
    <w:rsid w:val="00B06431"/>
    <w:rsid w:val="00B06686"/>
    <w:rsid w:val="00B07082"/>
    <w:rsid w:val="00B0724D"/>
    <w:rsid w:val="00B0726B"/>
    <w:rsid w:val="00B07C01"/>
    <w:rsid w:val="00B07C2E"/>
    <w:rsid w:val="00B10A4A"/>
    <w:rsid w:val="00B10C14"/>
    <w:rsid w:val="00B10E9F"/>
    <w:rsid w:val="00B113A8"/>
    <w:rsid w:val="00B11F1C"/>
    <w:rsid w:val="00B126FF"/>
    <w:rsid w:val="00B1295A"/>
    <w:rsid w:val="00B15425"/>
    <w:rsid w:val="00B16152"/>
    <w:rsid w:val="00B16341"/>
    <w:rsid w:val="00B1662B"/>
    <w:rsid w:val="00B166D5"/>
    <w:rsid w:val="00B1716B"/>
    <w:rsid w:val="00B1729B"/>
    <w:rsid w:val="00B17734"/>
    <w:rsid w:val="00B208D4"/>
    <w:rsid w:val="00B20957"/>
    <w:rsid w:val="00B20A45"/>
    <w:rsid w:val="00B20E73"/>
    <w:rsid w:val="00B211F8"/>
    <w:rsid w:val="00B224F8"/>
    <w:rsid w:val="00B22C5C"/>
    <w:rsid w:val="00B23B44"/>
    <w:rsid w:val="00B243C7"/>
    <w:rsid w:val="00B24F30"/>
    <w:rsid w:val="00B262F8"/>
    <w:rsid w:val="00B301BB"/>
    <w:rsid w:val="00B31256"/>
    <w:rsid w:val="00B312F6"/>
    <w:rsid w:val="00B31ABF"/>
    <w:rsid w:val="00B31CD8"/>
    <w:rsid w:val="00B327CD"/>
    <w:rsid w:val="00B33BE3"/>
    <w:rsid w:val="00B33DF7"/>
    <w:rsid w:val="00B35325"/>
    <w:rsid w:val="00B35AFB"/>
    <w:rsid w:val="00B3631C"/>
    <w:rsid w:val="00B36677"/>
    <w:rsid w:val="00B36857"/>
    <w:rsid w:val="00B36A61"/>
    <w:rsid w:val="00B371B1"/>
    <w:rsid w:val="00B37E39"/>
    <w:rsid w:val="00B41CA1"/>
    <w:rsid w:val="00B42D01"/>
    <w:rsid w:val="00B42EF3"/>
    <w:rsid w:val="00B4350E"/>
    <w:rsid w:val="00B440B4"/>
    <w:rsid w:val="00B441D1"/>
    <w:rsid w:val="00B44BAF"/>
    <w:rsid w:val="00B459A5"/>
    <w:rsid w:val="00B45B4E"/>
    <w:rsid w:val="00B45D35"/>
    <w:rsid w:val="00B46815"/>
    <w:rsid w:val="00B47C90"/>
    <w:rsid w:val="00B50404"/>
    <w:rsid w:val="00B50D33"/>
    <w:rsid w:val="00B521ED"/>
    <w:rsid w:val="00B52C90"/>
    <w:rsid w:val="00B53B5D"/>
    <w:rsid w:val="00B55213"/>
    <w:rsid w:val="00B569AA"/>
    <w:rsid w:val="00B56E98"/>
    <w:rsid w:val="00B6055E"/>
    <w:rsid w:val="00B608A9"/>
    <w:rsid w:val="00B60F3F"/>
    <w:rsid w:val="00B6110B"/>
    <w:rsid w:val="00B621A5"/>
    <w:rsid w:val="00B62680"/>
    <w:rsid w:val="00B6317D"/>
    <w:rsid w:val="00B6378C"/>
    <w:rsid w:val="00B6426E"/>
    <w:rsid w:val="00B648D9"/>
    <w:rsid w:val="00B649F4"/>
    <w:rsid w:val="00B64A2E"/>
    <w:rsid w:val="00B64CB5"/>
    <w:rsid w:val="00B65A07"/>
    <w:rsid w:val="00B66543"/>
    <w:rsid w:val="00B666AC"/>
    <w:rsid w:val="00B67059"/>
    <w:rsid w:val="00B70601"/>
    <w:rsid w:val="00B70704"/>
    <w:rsid w:val="00B709F4"/>
    <w:rsid w:val="00B70CD5"/>
    <w:rsid w:val="00B71077"/>
    <w:rsid w:val="00B718EF"/>
    <w:rsid w:val="00B7334F"/>
    <w:rsid w:val="00B74FE7"/>
    <w:rsid w:val="00B75AAF"/>
    <w:rsid w:val="00B76216"/>
    <w:rsid w:val="00B76821"/>
    <w:rsid w:val="00B76977"/>
    <w:rsid w:val="00B7723F"/>
    <w:rsid w:val="00B778B0"/>
    <w:rsid w:val="00B77F42"/>
    <w:rsid w:val="00B80534"/>
    <w:rsid w:val="00B8079E"/>
    <w:rsid w:val="00B807D7"/>
    <w:rsid w:val="00B80A6C"/>
    <w:rsid w:val="00B80AB3"/>
    <w:rsid w:val="00B8124E"/>
    <w:rsid w:val="00B81F5B"/>
    <w:rsid w:val="00B8433C"/>
    <w:rsid w:val="00B850D6"/>
    <w:rsid w:val="00B853FD"/>
    <w:rsid w:val="00B8563A"/>
    <w:rsid w:val="00B86C3E"/>
    <w:rsid w:val="00B87491"/>
    <w:rsid w:val="00B87742"/>
    <w:rsid w:val="00B923D1"/>
    <w:rsid w:val="00B9310B"/>
    <w:rsid w:val="00B9399A"/>
    <w:rsid w:val="00B97E29"/>
    <w:rsid w:val="00BA116E"/>
    <w:rsid w:val="00BA118A"/>
    <w:rsid w:val="00BA13C0"/>
    <w:rsid w:val="00BA148B"/>
    <w:rsid w:val="00BA1A52"/>
    <w:rsid w:val="00BA22ED"/>
    <w:rsid w:val="00BA29E9"/>
    <w:rsid w:val="00BA35AE"/>
    <w:rsid w:val="00BA3AE5"/>
    <w:rsid w:val="00BA527E"/>
    <w:rsid w:val="00BA534B"/>
    <w:rsid w:val="00BA592D"/>
    <w:rsid w:val="00BA6970"/>
    <w:rsid w:val="00BA7142"/>
    <w:rsid w:val="00BB0F53"/>
    <w:rsid w:val="00BB1E10"/>
    <w:rsid w:val="00BB237C"/>
    <w:rsid w:val="00BB2D50"/>
    <w:rsid w:val="00BB3A42"/>
    <w:rsid w:val="00BB3D51"/>
    <w:rsid w:val="00BB4108"/>
    <w:rsid w:val="00BB41A3"/>
    <w:rsid w:val="00BB473A"/>
    <w:rsid w:val="00BB50A6"/>
    <w:rsid w:val="00BB5BA7"/>
    <w:rsid w:val="00BB76DD"/>
    <w:rsid w:val="00BC04A4"/>
    <w:rsid w:val="00BC0567"/>
    <w:rsid w:val="00BC05A1"/>
    <w:rsid w:val="00BC0986"/>
    <w:rsid w:val="00BC1670"/>
    <w:rsid w:val="00BC1BD6"/>
    <w:rsid w:val="00BC20D9"/>
    <w:rsid w:val="00BC2C9C"/>
    <w:rsid w:val="00BC2E9A"/>
    <w:rsid w:val="00BC32DC"/>
    <w:rsid w:val="00BC35B6"/>
    <w:rsid w:val="00BC39E5"/>
    <w:rsid w:val="00BC558F"/>
    <w:rsid w:val="00BC5F5F"/>
    <w:rsid w:val="00BC64F8"/>
    <w:rsid w:val="00BD01E3"/>
    <w:rsid w:val="00BD0EC4"/>
    <w:rsid w:val="00BD12EF"/>
    <w:rsid w:val="00BD1B44"/>
    <w:rsid w:val="00BD1B51"/>
    <w:rsid w:val="00BD1F06"/>
    <w:rsid w:val="00BD22D9"/>
    <w:rsid w:val="00BD2301"/>
    <w:rsid w:val="00BD2DB0"/>
    <w:rsid w:val="00BD2E90"/>
    <w:rsid w:val="00BD4596"/>
    <w:rsid w:val="00BD5258"/>
    <w:rsid w:val="00BD58DF"/>
    <w:rsid w:val="00BD5AFF"/>
    <w:rsid w:val="00BD63EE"/>
    <w:rsid w:val="00BD64C4"/>
    <w:rsid w:val="00BE023F"/>
    <w:rsid w:val="00BE0389"/>
    <w:rsid w:val="00BE09F1"/>
    <w:rsid w:val="00BE0E1C"/>
    <w:rsid w:val="00BE1405"/>
    <w:rsid w:val="00BE312D"/>
    <w:rsid w:val="00BE3716"/>
    <w:rsid w:val="00BE38B9"/>
    <w:rsid w:val="00BE3FA1"/>
    <w:rsid w:val="00BE4042"/>
    <w:rsid w:val="00BE4325"/>
    <w:rsid w:val="00BE497B"/>
    <w:rsid w:val="00BE4D91"/>
    <w:rsid w:val="00BE61A5"/>
    <w:rsid w:val="00BE724F"/>
    <w:rsid w:val="00BE77AC"/>
    <w:rsid w:val="00BE7F52"/>
    <w:rsid w:val="00BF0EAC"/>
    <w:rsid w:val="00BF1945"/>
    <w:rsid w:val="00BF1C20"/>
    <w:rsid w:val="00BF2050"/>
    <w:rsid w:val="00BF2A2D"/>
    <w:rsid w:val="00BF2C73"/>
    <w:rsid w:val="00BF3637"/>
    <w:rsid w:val="00BF4CBD"/>
    <w:rsid w:val="00BF4DB7"/>
    <w:rsid w:val="00BF5ECB"/>
    <w:rsid w:val="00BF6231"/>
    <w:rsid w:val="00BF754B"/>
    <w:rsid w:val="00BF7A18"/>
    <w:rsid w:val="00BF7C7A"/>
    <w:rsid w:val="00BF7FF3"/>
    <w:rsid w:val="00C02E5F"/>
    <w:rsid w:val="00C03737"/>
    <w:rsid w:val="00C03816"/>
    <w:rsid w:val="00C04C86"/>
    <w:rsid w:val="00C05FCE"/>
    <w:rsid w:val="00C0721B"/>
    <w:rsid w:val="00C10578"/>
    <w:rsid w:val="00C10608"/>
    <w:rsid w:val="00C11A55"/>
    <w:rsid w:val="00C11CFE"/>
    <w:rsid w:val="00C12304"/>
    <w:rsid w:val="00C12A37"/>
    <w:rsid w:val="00C135BC"/>
    <w:rsid w:val="00C13E04"/>
    <w:rsid w:val="00C142D7"/>
    <w:rsid w:val="00C1497D"/>
    <w:rsid w:val="00C15240"/>
    <w:rsid w:val="00C1588D"/>
    <w:rsid w:val="00C15C95"/>
    <w:rsid w:val="00C225CA"/>
    <w:rsid w:val="00C22CC3"/>
    <w:rsid w:val="00C22FB9"/>
    <w:rsid w:val="00C2320E"/>
    <w:rsid w:val="00C23FCF"/>
    <w:rsid w:val="00C25380"/>
    <w:rsid w:val="00C2596A"/>
    <w:rsid w:val="00C25ADD"/>
    <w:rsid w:val="00C25B44"/>
    <w:rsid w:val="00C25D2E"/>
    <w:rsid w:val="00C269E5"/>
    <w:rsid w:val="00C26A5B"/>
    <w:rsid w:val="00C27537"/>
    <w:rsid w:val="00C2788B"/>
    <w:rsid w:val="00C3045D"/>
    <w:rsid w:val="00C31443"/>
    <w:rsid w:val="00C328FE"/>
    <w:rsid w:val="00C32A93"/>
    <w:rsid w:val="00C32D0F"/>
    <w:rsid w:val="00C333F4"/>
    <w:rsid w:val="00C33507"/>
    <w:rsid w:val="00C353C4"/>
    <w:rsid w:val="00C373E4"/>
    <w:rsid w:val="00C37734"/>
    <w:rsid w:val="00C37C90"/>
    <w:rsid w:val="00C37CFB"/>
    <w:rsid w:val="00C4046B"/>
    <w:rsid w:val="00C404E5"/>
    <w:rsid w:val="00C41346"/>
    <w:rsid w:val="00C4135C"/>
    <w:rsid w:val="00C4409D"/>
    <w:rsid w:val="00C44A71"/>
    <w:rsid w:val="00C44E72"/>
    <w:rsid w:val="00C45A06"/>
    <w:rsid w:val="00C47E5B"/>
    <w:rsid w:val="00C50136"/>
    <w:rsid w:val="00C502C0"/>
    <w:rsid w:val="00C50A93"/>
    <w:rsid w:val="00C50C40"/>
    <w:rsid w:val="00C51277"/>
    <w:rsid w:val="00C5203E"/>
    <w:rsid w:val="00C52843"/>
    <w:rsid w:val="00C5308D"/>
    <w:rsid w:val="00C54528"/>
    <w:rsid w:val="00C557DB"/>
    <w:rsid w:val="00C55D79"/>
    <w:rsid w:val="00C56CCA"/>
    <w:rsid w:val="00C6099F"/>
    <w:rsid w:val="00C61E4B"/>
    <w:rsid w:val="00C62F1A"/>
    <w:rsid w:val="00C63645"/>
    <w:rsid w:val="00C636A2"/>
    <w:rsid w:val="00C645A0"/>
    <w:rsid w:val="00C64BFF"/>
    <w:rsid w:val="00C6509D"/>
    <w:rsid w:val="00C65580"/>
    <w:rsid w:val="00C675C4"/>
    <w:rsid w:val="00C704E9"/>
    <w:rsid w:val="00C70D13"/>
    <w:rsid w:val="00C7172C"/>
    <w:rsid w:val="00C718A7"/>
    <w:rsid w:val="00C728ED"/>
    <w:rsid w:val="00C729A7"/>
    <w:rsid w:val="00C73574"/>
    <w:rsid w:val="00C735E5"/>
    <w:rsid w:val="00C73722"/>
    <w:rsid w:val="00C74327"/>
    <w:rsid w:val="00C74388"/>
    <w:rsid w:val="00C763C9"/>
    <w:rsid w:val="00C769D5"/>
    <w:rsid w:val="00C76C77"/>
    <w:rsid w:val="00C76CFE"/>
    <w:rsid w:val="00C80057"/>
    <w:rsid w:val="00C809AF"/>
    <w:rsid w:val="00C80C73"/>
    <w:rsid w:val="00C80F70"/>
    <w:rsid w:val="00C82232"/>
    <w:rsid w:val="00C8288F"/>
    <w:rsid w:val="00C82912"/>
    <w:rsid w:val="00C82913"/>
    <w:rsid w:val="00C8338B"/>
    <w:rsid w:val="00C83E09"/>
    <w:rsid w:val="00C83E21"/>
    <w:rsid w:val="00C85405"/>
    <w:rsid w:val="00C85A67"/>
    <w:rsid w:val="00C920CB"/>
    <w:rsid w:val="00C936EF"/>
    <w:rsid w:val="00C94023"/>
    <w:rsid w:val="00C9418A"/>
    <w:rsid w:val="00C947EC"/>
    <w:rsid w:val="00C9527D"/>
    <w:rsid w:val="00C95976"/>
    <w:rsid w:val="00C968A6"/>
    <w:rsid w:val="00C972B1"/>
    <w:rsid w:val="00C979A4"/>
    <w:rsid w:val="00C97C37"/>
    <w:rsid w:val="00CA0720"/>
    <w:rsid w:val="00CA2CCE"/>
    <w:rsid w:val="00CA43FD"/>
    <w:rsid w:val="00CA4648"/>
    <w:rsid w:val="00CA4F62"/>
    <w:rsid w:val="00CA6092"/>
    <w:rsid w:val="00CA6E02"/>
    <w:rsid w:val="00CA7C20"/>
    <w:rsid w:val="00CA7E62"/>
    <w:rsid w:val="00CA7EF8"/>
    <w:rsid w:val="00CB0620"/>
    <w:rsid w:val="00CB0922"/>
    <w:rsid w:val="00CB1853"/>
    <w:rsid w:val="00CB241A"/>
    <w:rsid w:val="00CB259C"/>
    <w:rsid w:val="00CB274F"/>
    <w:rsid w:val="00CB3AC7"/>
    <w:rsid w:val="00CB5353"/>
    <w:rsid w:val="00CB5A83"/>
    <w:rsid w:val="00CB5A89"/>
    <w:rsid w:val="00CB630C"/>
    <w:rsid w:val="00CB6981"/>
    <w:rsid w:val="00CC0177"/>
    <w:rsid w:val="00CC0425"/>
    <w:rsid w:val="00CC08BB"/>
    <w:rsid w:val="00CC0D1D"/>
    <w:rsid w:val="00CC1FA7"/>
    <w:rsid w:val="00CC26B7"/>
    <w:rsid w:val="00CC2820"/>
    <w:rsid w:val="00CC489B"/>
    <w:rsid w:val="00CC4C3B"/>
    <w:rsid w:val="00CC60D8"/>
    <w:rsid w:val="00CC6357"/>
    <w:rsid w:val="00CC651F"/>
    <w:rsid w:val="00CC6A48"/>
    <w:rsid w:val="00CC6B6C"/>
    <w:rsid w:val="00CC6DB8"/>
    <w:rsid w:val="00CD1C92"/>
    <w:rsid w:val="00CD216E"/>
    <w:rsid w:val="00CD255E"/>
    <w:rsid w:val="00CD2BCD"/>
    <w:rsid w:val="00CD2C75"/>
    <w:rsid w:val="00CD3672"/>
    <w:rsid w:val="00CD38CC"/>
    <w:rsid w:val="00CD3A4C"/>
    <w:rsid w:val="00CD3F0B"/>
    <w:rsid w:val="00CD4613"/>
    <w:rsid w:val="00CD473F"/>
    <w:rsid w:val="00CD4F14"/>
    <w:rsid w:val="00CD5742"/>
    <w:rsid w:val="00CD633A"/>
    <w:rsid w:val="00CD7557"/>
    <w:rsid w:val="00CE0224"/>
    <w:rsid w:val="00CE09C9"/>
    <w:rsid w:val="00CE0EAD"/>
    <w:rsid w:val="00CE10E9"/>
    <w:rsid w:val="00CE2910"/>
    <w:rsid w:val="00CE29D0"/>
    <w:rsid w:val="00CE5393"/>
    <w:rsid w:val="00CE560B"/>
    <w:rsid w:val="00CE6242"/>
    <w:rsid w:val="00CE64F5"/>
    <w:rsid w:val="00CE7005"/>
    <w:rsid w:val="00CE7BA1"/>
    <w:rsid w:val="00CF022D"/>
    <w:rsid w:val="00CF0757"/>
    <w:rsid w:val="00CF0B04"/>
    <w:rsid w:val="00CF17B3"/>
    <w:rsid w:val="00CF1BD6"/>
    <w:rsid w:val="00CF1C31"/>
    <w:rsid w:val="00CF1D52"/>
    <w:rsid w:val="00CF1FC6"/>
    <w:rsid w:val="00CF36BE"/>
    <w:rsid w:val="00CF3A38"/>
    <w:rsid w:val="00CF3C0C"/>
    <w:rsid w:val="00CF535B"/>
    <w:rsid w:val="00CF6000"/>
    <w:rsid w:val="00CF68BF"/>
    <w:rsid w:val="00CF736A"/>
    <w:rsid w:val="00CF7405"/>
    <w:rsid w:val="00D001F0"/>
    <w:rsid w:val="00D003F3"/>
    <w:rsid w:val="00D006F1"/>
    <w:rsid w:val="00D00770"/>
    <w:rsid w:val="00D01021"/>
    <w:rsid w:val="00D02601"/>
    <w:rsid w:val="00D02D9E"/>
    <w:rsid w:val="00D02EBE"/>
    <w:rsid w:val="00D03005"/>
    <w:rsid w:val="00D03411"/>
    <w:rsid w:val="00D0364F"/>
    <w:rsid w:val="00D0409D"/>
    <w:rsid w:val="00D04E32"/>
    <w:rsid w:val="00D0504F"/>
    <w:rsid w:val="00D051E4"/>
    <w:rsid w:val="00D06834"/>
    <w:rsid w:val="00D06D08"/>
    <w:rsid w:val="00D06D1D"/>
    <w:rsid w:val="00D07437"/>
    <w:rsid w:val="00D07B67"/>
    <w:rsid w:val="00D07CF7"/>
    <w:rsid w:val="00D10172"/>
    <w:rsid w:val="00D109F6"/>
    <w:rsid w:val="00D10CF1"/>
    <w:rsid w:val="00D112CE"/>
    <w:rsid w:val="00D1202E"/>
    <w:rsid w:val="00D130EC"/>
    <w:rsid w:val="00D13773"/>
    <w:rsid w:val="00D1597C"/>
    <w:rsid w:val="00D20E82"/>
    <w:rsid w:val="00D22BB5"/>
    <w:rsid w:val="00D22F80"/>
    <w:rsid w:val="00D2345B"/>
    <w:rsid w:val="00D2390B"/>
    <w:rsid w:val="00D25B04"/>
    <w:rsid w:val="00D2655C"/>
    <w:rsid w:val="00D308CA"/>
    <w:rsid w:val="00D308ED"/>
    <w:rsid w:val="00D31E52"/>
    <w:rsid w:val="00D321DC"/>
    <w:rsid w:val="00D32424"/>
    <w:rsid w:val="00D32F0F"/>
    <w:rsid w:val="00D32FF0"/>
    <w:rsid w:val="00D33F26"/>
    <w:rsid w:val="00D33FD2"/>
    <w:rsid w:val="00D3447D"/>
    <w:rsid w:val="00D34801"/>
    <w:rsid w:val="00D34820"/>
    <w:rsid w:val="00D34912"/>
    <w:rsid w:val="00D35177"/>
    <w:rsid w:val="00D35255"/>
    <w:rsid w:val="00D366B5"/>
    <w:rsid w:val="00D36D86"/>
    <w:rsid w:val="00D37272"/>
    <w:rsid w:val="00D410DC"/>
    <w:rsid w:val="00D41AAB"/>
    <w:rsid w:val="00D41C03"/>
    <w:rsid w:val="00D424AA"/>
    <w:rsid w:val="00D426BD"/>
    <w:rsid w:val="00D428AA"/>
    <w:rsid w:val="00D42FB6"/>
    <w:rsid w:val="00D435C7"/>
    <w:rsid w:val="00D43772"/>
    <w:rsid w:val="00D43B58"/>
    <w:rsid w:val="00D4448B"/>
    <w:rsid w:val="00D44895"/>
    <w:rsid w:val="00D45C59"/>
    <w:rsid w:val="00D47EFE"/>
    <w:rsid w:val="00D5018E"/>
    <w:rsid w:val="00D50A34"/>
    <w:rsid w:val="00D51448"/>
    <w:rsid w:val="00D5210E"/>
    <w:rsid w:val="00D5228D"/>
    <w:rsid w:val="00D52961"/>
    <w:rsid w:val="00D530A3"/>
    <w:rsid w:val="00D53EFA"/>
    <w:rsid w:val="00D5583E"/>
    <w:rsid w:val="00D55BBE"/>
    <w:rsid w:val="00D56050"/>
    <w:rsid w:val="00D56149"/>
    <w:rsid w:val="00D60058"/>
    <w:rsid w:val="00D602CA"/>
    <w:rsid w:val="00D6030B"/>
    <w:rsid w:val="00D6048B"/>
    <w:rsid w:val="00D60FCF"/>
    <w:rsid w:val="00D61011"/>
    <w:rsid w:val="00D625F5"/>
    <w:rsid w:val="00D628BF"/>
    <w:rsid w:val="00D62B90"/>
    <w:rsid w:val="00D633BC"/>
    <w:rsid w:val="00D63BA3"/>
    <w:rsid w:val="00D64483"/>
    <w:rsid w:val="00D647E2"/>
    <w:rsid w:val="00D64B5D"/>
    <w:rsid w:val="00D64C58"/>
    <w:rsid w:val="00D66AD9"/>
    <w:rsid w:val="00D67239"/>
    <w:rsid w:val="00D7029E"/>
    <w:rsid w:val="00D702C0"/>
    <w:rsid w:val="00D7093D"/>
    <w:rsid w:val="00D7108A"/>
    <w:rsid w:val="00D71A65"/>
    <w:rsid w:val="00D71A8F"/>
    <w:rsid w:val="00D71FFF"/>
    <w:rsid w:val="00D72700"/>
    <w:rsid w:val="00D72A61"/>
    <w:rsid w:val="00D72C74"/>
    <w:rsid w:val="00D73273"/>
    <w:rsid w:val="00D73B53"/>
    <w:rsid w:val="00D73DDA"/>
    <w:rsid w:val="00D74336"/>
    <w:rsid w:val="00D75249"/>
    <w:rsid w:val="00D756B3"/>
    <w:rsid w:val="00D75D40"/>
    <w:rsid w:val="00D773F5"/>
    <w:rsid w:val="00D77B43"/>
    <w:rsid w:val="00D77E98"/>
    <w:rsid w:val="00D77FCD"/>
    <w:rsid w:val="00D80929"/>
    <w:rsid w:val="00D81B4E"/>
    <w:rsid w:val="00D81D8F"/>
    <w:rsid w:val="00D81FEC"/>
    <w:rsid w:val="00D82273"/>
    <w:rsid w:val="00D82B58"/>
    <w:rsid w:val="00D82FC1"/>
    <w:rsid w:val="00D83342"/>
    <w:rsid w:val="00D83F30"/>
    <w:rsid w:val="00D84667"/>
    <w:rsid w:val="00D8475A"/>
    <w:rsid w:val="00D8589A"/>
    <w:rsid w:val="00D85EA3"/>
    <w:rsid w:val="00D85FBB"/>
    <w:rsid w:val="00D86A62"/>
    <w:rsid w:val="00D87107"/>
    <w:rsid w:val="00D87D08"/>
    <w:rsid w:val="00D904BD"/>
    <w:rsid w:val="00D9133B"/>
    <w:rsid w:val="00D923EB"/>
    <w:rsid w:val="00D9263A"/>
    <w:rsid w:val="00D932F9"/>
    <w:rsid w:val="00D9483D"/>
    <w:rsid w:val="00D94A7C"/>
    <w:rsid w:val="00D94C40"/>
    <w:rsid w:val="00D9533C"/>
    <w:rsid w:val="00D95896"/>
    <w:rsid w:val="00D969B1"/>
    <w:rsid w:val="00D976F8"/>
    <w:rsid w:val="00D97A3E"/>
    <w:rsid w:val="00D97EAB"/>
    <w:rsid w:val="00DA191F"/>
    <w:rsid w:val="00DA3534"/>
    <w:rsid w:val="00DA3809"/>
    <w:rsid w:val="00DA393D"/>
    <w:rsid w:val="00DA45B0"/>
    <w:rsid w:val="00DA5007"/>
    <w:rsid w:val="00DA60CF"/>
    <w:rsid w:val="00DA6E14"/>
    <w:rsid w:val="00DA7481"/>
    <w:rsid w:val="00DA753B"/>
    <w:rsid w:val="00DB0AC2"/>
    <w:rsid w:val="00DB0FDC"/>
    <w:rsid w:val="00DB19EE"/>
    <w:rsid w:val="00DB1C2B"/>
    <w:rsid w:val="00DB225C"/>
    <w:rsid w:val="00DB2407"/>
    <w:rsid w:val="00DB250A"/>
    <w:rsid w:val="00DB2983"/>
    <w:rsid w:val="00DB2DB0"/>
    <w:rsid w:val="00DB2F24"/>
    <w:rsid w:val="00DB305F"/>
    <w:rsid w:val="00DB353B"/>
    <w:rsid w:val="00DB3AF6"/>
    <w:rsid w:val="00DB477F"/>
    <w:rsid w:val="00DB6038"/>
    <w:rsid w:val="00DB6126"/>
    <w:rsid w:val="00DB678F"/>
    <w:rsid w:val="00DB6CAC"/>
    <w:rsid w:val="00DB767B"/>
    <w:rsid w:val="00DC0006"/>
    <w:rsid w:val="00DC114C"/>
    <w:rsid w:val="00DC1257"/>
    <w:rsid w:val="00DC1B46"/>
    <w:rsid w:val="00DC1CC1"/>
    <w:rsid w:val="00DC221B"/>
    <w:rsid w:val="00DC267F"/>
    <w:rsid w:val="00DC2739"/>
    <w:rsid w:val="00DC2CEC"/>
    <w:rsid w:val="00DC2D01"/>
    <w:rsid w:val="00DC344C"/>
    <w:rsid w:val="00DC3D78"/>
    <w:rsid w:val="00DC3DC0"/>
    <w:rsid w:val="00DC4A23"/>
    <w:rsid w:val="00DC4A69"/>
    <w:rsid w:val="00DC5B2B"/>
    <w:rsid w:val="00DC6004"/>
    <w:rsid w:val="00DC723B"/>
    <w:rsid w:val="00DC7247"/>
    <w:rsid w:val="00DC73A5"/>
    <w:rsid w:val="00DC770B"/>
    <w:rsid w:val="00DD0968"/>
    <w:rsid w:val="00DD18EB"/>
    <w:rsid w:val="00DD2E3A"/>
    <w:rsid w:val="00DD318D"/>
    <w:rsid w:val="00DD3447"/>
    <w:rsid w:val="00DD38A3"/>
    <w:rsid w:val="00DD502B"/>
    <w:rsid w:val="00DD5BE8"/>
    <w:rsid w:val="00DD6BDE"/>
    <w:rsid w:val="00DD6BFE"/>
    <w:rsid w:val="00DD70EB"/>
    <w:rsid w:val="00DD727D"/>
    <w:rsid w:val="00DE0A68"/>
    <w:rsid w:val="00DE12B1"/>
    <w:rsid w:val="00DE221E"/>
    <w:rsid w:val="00DE3126"/>
    <w:rsid w:val="00DE3935"/>
    <w:rsid w:val="00DE395F"/>
    <w:rsid w:val="00DE3AFC"/>
    <w:rsid w:val="00DE41A6"/>
    <w:rsid w:val="00DE43F1"/>
    <w:rsid w:val="00DE4AFA"/>
    <w:rsid w:val="00DE4E17"/>
    <w:rsid w:val="00DE4FB0"/>
    <w:rsid w:val="00DE5188"/>
    <w:rsid w:val="00DE5B41"/>
    <w:rsid w:val="00DE637D"/>
    <w:rsid w:val="00DE6A61"/>
    <w:rsid w:val="00DE7108"/>
    <w:rsid w:val="00DF0C5D"/>
    <w:rsid w:val="00DF0E1A"/>
    <w:rsid w:val="00DF2D2F"/>
    <w:rsid w:val="00DF2E12"/>
    <w:rsid w:val="00DF3ACD"/>
    <w:rsid w:val="00DF479E"/>
    <w:rsid w:val="00DF47CC"/>
    <w:rsid w:val="00DF4D76"/>
    <w:rsid w:val="00DF514A"/>
    <w:rsid w:val="00DF5A8C"/>
    <w:rsid w:val="00DF6690"/>
    <w:rsid w:val="00DF6804"/>
    <w:rsid w:val="00DF78AC"/>
    <w:rsid w:val="00DF7AA2"/>
    <w:rsid w:val="00E00C9A"/>
    <w:rsid w:val="00E01088"/>
    <w:rsid w:val="00E01F89"/>
    <w:rsid w:val="00E033C5"/>
    <w:rsid w:val="00E0358D"/>
    <w:rsid w:val="00E03826"/>
    <w:rsid w:val="00E04323"/>
    <w:rsid w:val="00E04631"/>
    <w:rsid w:val="00E05634"/>
    <w:rsid w:val="00E06152"/>
    <w:rsid w:val="00E069CB"/>
    <w:rsid w:val="00E0701A"/>
    <w:rsid w:val="00E070A2"/>
    <w:rsid w:val="00E07143"/>
    <w:rsid w:val="00E07FFA"/>
    <w:rsid w:val="00E10B08"/>
    <w:rsid w:val="00E1128F"/>
    <w:rsid w:val="00E12546"/>
    <w:rsid w:val="00E129E5"/>
    <w:rsid w:val="00E12C6A"/>
    <w:rsid w:val="00E12DF9"/>
    <w:rsid w:val="00E13BBC"/>
    <w:rsid w:val="00E1444B"/>
    <w:rsid w:val="00E151E6"/>
    <w:rsid w:val="00E15A04"/>
    <w:rsid w:val="00E16247"/>
    <w:rsid w:val="00E17210"/>
    <w:rsid w:val="00E204F9"/>
    <w:rsid w:val="00E20615"/>
    <w:rsid w:val="00E20D63"/>
    <w:rsid w:val="00E21833"/>
    <w:rsid w:val="00E22005"/>
    <w:rsid w:val="00E22283"/>
    <w:rsid w:val="00E225F1"/>
    <w:rsid w:val="00E23E9F"/>
    <w:rsid w:val="00E24B3E"/>
    <w:rsid w:val="00E24BD9"/>
    <w:rsid w:val="00E2605D"/>
    <w:rsid w:val="00E2656A"/>
    <w:rsid w:val="00E267F7"/>
    <w:rsid w:val="00E2696E"/>
    <w:rsid w:val="00E26EA6"/>
    <w:rsid w:val="00E27140"/>
    <w:rsid w:val="00E27203"/>
    <w:rsid w:val="00E27550"/>
    <w:rsid w:val="00E275E0"/>
    <w:rsid w:val="00E2787F"/>
    <w:rsid w:val="00E309A6"/>
    <w:rsid w:val="00E31AB6"/>
    <w:rsid w:val="00E31C47"/>
    <w:rsid w:val="00E3227E"/>
    <w:rsid w:val="00E32323"/>
    <w:rsid w:val="00E33165"/>
    <w:rsid w:val="00E33BA7"/>
    <w:rsid w:val="00E33DCB"/>
    <w:rsid w:val="00E33EC6"/>
    <w:rsid w:val="00E351F3"/>
    <w:rsid w:val="00E359E5"/>
    <w:rsid w:val="00E35FFC"/>
    <w:rsid w:val="00E368B4"/>
    <w:rsid w:val="00E36AF6"/>
    <w:rsid w:val="00E36E19"/>
    <w:rsid w:val="00E37D42"/>
    <w:rsid w:val="00E37E69"/>
    <w:rsid w:val="00E4016C"/>
    <w:rsid w:val="00E401BA"/>
    <w:rsid w:val="00E40890"/>
    <w:rsid w:val="00E411BC"/>
    <w:rsid w:val="00E412D0"/>
    <w:rsid w:val="00E4144C"/>
    <w:rsid w:val="00E41A41"/>
    <w:rsid w:val="00E42201"/>
    <w:rsid w:val="00E42E38"/>
    <w:rsid w:val="00E43259"/>
    <w:rsid w:val="00E43785"/>
    <w:rsid w:val="00E438D7"/>
    <w:rsid w:val="00E43E27"/>
    <w:rsid w:val="00E447FD"/>
    <w:rsid w:val="00E44FC3"/>
    <w:rsid w:val="00E45663"/>
    <w:rsid w:val="00E45676"/>
    <w:rsid w:val="00E4619D"/>
    <w:rsid w:val="00E463AF"/>
    <w:rsid w:val="00E47D2C"/>
    <w:rsid w:val="00E47DD2"/>
    <w:rsid w:val="00E51934"/>
    <w:rsid w:val="00E5256F"/>
    <w:rsid w:val="00E52A6B"/>
    <w:rsid w:val="00E52C5F"/>
    <w:rsid w:val="00E52DB5"/>
    <w:rsid w:val="00E52FBE"/>
    <w:rsid w:val="00E52FF7"/>
    <w:rsid w:val="00E534D8"/>
    <w:rsid w:val="00E53D7E"/>
    <w:rsid w:val="00E541CF"/>
    <w:rsid w:val="00E5469D"/>
    <w:rsid w:val="00E551BB"/>
    <w:rsid w:val="00E55665"/>
    <w:rsid w:val="00E557A5"/>
    <w:rsid w:val="00E55FE8"/>
    <w:rsid w:val="00E56322"/>
    <w:rsid w:val="00E564EA"/>
    <w:rsid w:val="00E56BB7"/>
    <w:rsid w:val="00E5711E"/>
    <w:rsid w:val="00E6043B"/>
    <w:rsid w:val="00E606F8"/>
    <w:rsid w:val="00E6095E"/>
    <w:rsid w:val="00E60982"/>
    <w:rsid w:val="00E60D07"/>
    <w:rsid w:val="00E60DE5"/>
    <w:rsid w:val="00E60ED6"/>
    <w:rsid w:val="00E62C62"/>
    <w:rsid w:val="00E6355A"/>
    <w:rsid w:val="00E64C7A"/>
    <w:rsid w:val="00E654C1"/>
    <w:rsid w:val="00E65D97"/>
    <w:rsid w:val="00E65E0E"/>
    <w:rsid w:val="00E66FD7"/>
    <w:rsid w:val="00E6737B"/>
    <w:rsid w:val="00E67D47"/>
    <w:rsid w:val="00E703CA"/>
    <w:rsid w:val="00E7051A"/>
    <w:rsid w:val="00E7218A"/>
    <w:rsid w:val="00E724D2"/>
    <w:rsid w:val="00E72699"/>
    <w:rsid w:val="00E72A5A"/>
    <w:rsid w:val="00E72EFA"/>
    <w:rsid w:val="00E73354"/>
    <w:rsid w:val="00E73A86"/>
    <w:rsid w:val="00E73E02"/>
    <w:rsid w:val="00E7419B"/>
    <w:rsid w:val="00E7423C"/>
    <w:rsid w:val="00E74AFD"/>
    <w:rsid w:val="00E763CD"/>
    <w:rsid w:val="00E77A95"/>
    <w:rsid w:val="00E804DA"/>
    <w:rsid w:val="00E81093"/>
    <w:rsid w:val="00E81858"/>
    <w:rsid w:val="00E81AC0"/>
    <w:rsid w:val="00E81D0A"/>
    <w:rsid w:val="00E8231B"/>
    <w:rsid w:val="00E8293D"/>
    <w:rsid w:val="00E82EEF"/>
    <w:rsid w:val="00E8308B"/>
    <w:rsid w:val="00E83801"/>
    <w:rsid w:val="00E84A0B"/>
    <w:rsid w:val="00E85B9C"/>
    <w:rsid w:val="00E85CA1"/>
    <w:rsid w:val="00E86347"/>
    <w:rsid w:val="00E86D38"/>
    <w:rsid w:val="00E86E22"/>
    <w:rsid w:val="00E86EE3"/>
    <w:rsid w:val="00E90774"/>
    <w:rsid w:val="00E910C4"/>
    <w:rsid w:val="00E91331"/>
    <w:rsid w:val="00E918E2"/>
    <w:rsid w:val="00E91A43"/>
    <w:rsid w:val="00E9242D"/>
    <w:rsid w:val="00E954B8"/>
    <w:rsid w:val="00E962FF"/>
    <w:rsid w:val="00E9647E"/>
    <w:rsid w:val="00E9682C"/>
    <w:rsid w:val="00E96F5D"/>
    <w:rsid w:val="00E976D3"/>
    <w:rsid w:val="00EA081E"/>
    <w:rsid w:val="00EA1AD1"/>
    <w:rsid w:val="00EA2DCE"/>
    <w:rsid w:val="00EA34A3"/>
    <w:rsid w:val="00EA3618"/>
    <w:rsid w:val="00EA4001"/>
    <w:rsid w:val="00EA445D"/>
    <w:rsid w:val="00EA4943"/>
    <w:rsid w:val="00EA4EA3"/>
    <w:rsid w:val="00EA4F5D"/>
    <w:rsid w:val="00EA5442"/>
    <w:rsid w:val="00EA6FCE"/>
    <w:rsid w:val="00EA73DD"/>
    <w:rsid w:val="00EB1648"/>
    <w:rsid w:val="00EB178C"/>
    <w:rsid w:val="00EB23FC"/>
    <w:rsid w:val="00EB2CFD"/>
    <w:rsid w:val="00EB2E3F"/>
    <w:rsid w:val="00EB489B"/>
    <w:rsid w:val="00EB5255"/>
    <w:rsid w:val="00EB5592"/>
    <w:rsid w:val="00EB5B3C"/>
    <w:rsid w:val="00EB5C47"/>
    <w:rsid w:val="00EB6956"/>
    <w:rsid w:val="00EB6FE0"/>
    <w:rsid w:val="00EB7E84"/>
    <w:rsid w:val="00EC03CC"/>
    <w:rsid w:val="00EC1AA9"/>
    <w:rsid w:val="00EC2034"/>
    <w:rsid w:val="00EC2B53"/>
    <w:rsid w:val="00EC2C38"/>
    <w:rsid w:val="00EC3954"/>
    <w:rsid w:val="00EC3A65"/>
    <w:rsid w:val="00EC3E9F"/>
    <w:rsid w:val="00EC5145"/>
    <w:rsid w:val="00EC5ED4"/>
    <w:rsid w:val="00EC6B44"/>
    <w:rsid w:val="00EC786E"/>
    <w:rsid w:val="00ED0639"/>
    <w:rsid w:val="00ED0F86"/>
    <w:rsid w:val="00ED178F"/>
    <w:rsid w:val="00ED19FD"/>
    <w:rsid w:val="00ED2712"/>
    <w:rsid w:val="00ED3018"/>
    <w:rsid w:val="00ED38CD"/>
    <w:rsid w:val="00ED4FB1"/>
    <w:rsid w:val="00ED56AD"/>
    <w:rsid w:val="00ED5FF2"/>
    <w:rsid w:val="00ED64EE"/>
    <w:rsid w:val="00ED73DD"/>
    <w:rsid w:val="00ED7E6F"/>
    <w:rsid w:val="00EE2005"/>
    <w:rsid w:val="00EE369F"/>
    <w:rsid w:val="00EE3D5C"/>
    <w:rsid w:val="00EE5623"/>
    <w:rsid w:val="00EE6D69"/>
    <w:rsid w:val="00EE700F"/>
    <w:rsid w:val="00EE7323"/>
    <w:rsid w:val="00EE7979"/>
    <w:rsid w:val="00EE7EBF"/>
    <w:rsid w:val="00EF1DF3"/>
    <w:rsid w:val="00EF214D"/>
    <w:rsid w:val="00EF24C4"/>
    <w:rsid w:val="00EF3C3B"/>
    <w:rsid w:val="00EF4755"/>
    <w:rsid w:val="00EF5DFD"/>
    <w:rsid w:val="00EF5E4B"/>
    <w:rsid w:val="00EF6003"/>
    <w:rsid w:val="00EF666B"/>
    <w:rsid w:val="00EF6D2C"/>
    <w:rsid w:val="00EF6F99"/>
    <w:rsid w:val="00EF70DE"/>
    <w:rsid w:val="00EF7135"/>
    <w:rsid w:val="00EF76F5"/>
    <w:rsid w:val="00EF7ADA"/>
    <w:rsid w:val="00F01355"/>
    <w:rsid w:val="00F013AE"/>
    <w:rsid w:val="00F01B26"/>
    <w:rsid w:val="00F01D95"/>
    <w:rsid w:val="00F027DB"/>
    <w:rsid w:val="00F02F4D"/>
    <w:rsid w:val="00F0325A"/>
    <w:rsid w:val="00F034E6"/>
    <w:rsid w:val="00F036E6"/>
    <w:rsid w:val="00F04605"/>
    <w:rsid w:val="00F10049"/>
    <w:rsid w:val="00F10259"/>
    <w:rsid w:val="00F10BBC"/>
    <w:rsid w:val="00F11E05"/>
    <w:rsid w:val="00F122AD"/>
    <w:rsid w:val="00F14A7A"/>
    <w:rsid w:val="00F14CC4"/>
    <w:rsid w:val="00F157B6"/>
    <w:rsid w:val="00F15BBB"/>
    <w:rsid w:val="00F17851"/>
    <w:rsid w:val="00F2011A"/>
    <w:rsid w:val="00F202AB"/>
    <w:rsid w:val="00F20D89"/>
    <w:rsid w:val="00F21676"/>
    <w:rsid w:val="00F2288D"/>
    <w:rsid w:val="00F22985"/>
    <w:rsid w:val="00F233C9"/>
    <w:rsid w:val="00F2415F"/>
    <w:rsid w:val="00F25D27"/>
    <w:rsid w:val="00F261DE"/>
    <w:rsid w:val="00F26BC9"/>
    <w:rsid w:val="00F26BF8"/>
    <w:rsid w:val="00F2787B"/>
    <w:rsid w:val="00F30894"/>
    <w:rsid w:val="00F3383E"/>
    <w:rsid w:val="00F3414F"/>
    <w:rsid w:val="00F34329"/>
    <w:rsid w:val="00F34EAB"/>
    <w:rsid w:val="00F357F9"/>
    <w:rsid w:val="00F35BC0"/>
    <w:rsid w:val="00F36562"/>
    <w:rsid w:val="00F36826"/>
    <w:rsid w:val="00F401C9"/>
    <w:rsid w:val="00F408A8"/>
    <w:rsid w:val="00F40955"/>
    <w:rsid w:val="00F41487"/>
    <w:rsid w:val="00F42394"/>
    <w:rsid w:val="00F434D2"/>
    <w:rsid w:val="00F43F0C"/>
    <w:rsid w:val="00F44AD0"/>
    <w:rsid w:val="00F45A20"/>
    <w:rsid w:val="00F45EF6"/>
    <w:rsid w:val="00F463FA"/>
    <w:rsid w:val="00F465A7"/>
    <w:rsid w:val="00F465FA"/>
    <w:rsid w:val="00F46864"/>
    <w:rsid w:val="00F50B7C"/>
    <w:rsid w:val="00F510A0"/>
    <w:rsid w:val="00F517AD"/>
    <w:rsid w:val="00F523CE"/>
    <w:rsid w:val="00F527CB"/>
    <w:rsid w:val="00F52B4F"/>
    <w:rsid w:val="00F532E7"/>
    <w:rsid w:val="00F5404E"/>
    <w:rsid w:val="00F54230"/>
    <w:rsid w:val="00F548F5"/>
    <w:rsid w:val="00F550E6"/>
    <w:rsid w:val="00F5542D"/>
    <w:rsid w:val="00F55563"/>
    <w:rsid w:val="00F55C5B"/>
    <w:rsid w:val="00F564EA"/>
    <w:rsid w:val="00F567E8"/>
    <w:rsid w:val="00F6045C"/>
    <w:rsid w:val="00F60774"/>
    <w:rsid w:val="00F61FD4"/>
    <w:rsid w:val="00F63260"/>
    <w:rsid w:val="00F6340D"/>
    <w:rsid w:val="00F6373A"/>
    <w:rsid w:val="00F6408D"/>
    <w:rsid w:val="00F64D25"/>
    <w:rsid w:val="00F650D3"/>
    <w:rsid w:val="00F65249"/>
    <w:rsid w:val="00F66DCB"/>
    <w:rsid w:val="00F66E94"/>
    <w:rsid w:val="00F67822"/>
    <w:rsid w:val="00F67864"/>
    <w:rsid w:val="00F67A67"/>
    <w:rsid w:val="00F7094E"/>
    <w:rsid w:val="00F7170D"/>
    <w:rsid w:val="00F72A5C"/>
    <w:rsid w:val="00F72ADF"/>
    <w:rsid w:val="00F72F2D"/>
    <w:rsid w:val="00F73970"/>
    <w:rsid w:val="00F74345"/>
    <w:rsid w:val="00F7511B"/>
    <w:rsid w:val="00F7652A"/>
    <w:rsid w:val="00F76AEC"/>
    <w:rsid w:val="00F77E60"/>
    <w:rsid w:val="00F801AD"/>
    <w:rsid w:val="00F80A0A"/>
    <w:rsid w:val="00F80B84"/>
    <w:rsid w:val="00F81CF9"/>
    <w:rsid w:val="00F82B19"/>
    <w:rsid w:val="00F84F23"/>
    <w:rsid w:val="00F862A5"/>
    <w:rsid w:val="00F90A9A"/>
    <w:rsid w:val="00F9116D"/>
    <w:rsid w:val="00F91A4A"/>
    <w:rsid w:val="00F9212D"/>
    <w:rsid w:val="00F92392"/>
    <w:rsid w:val="00F943FB"/>
    <w:rsid w:val="00F94B2B"/>
    <w:rsid w:val="00F95A4B"/>
    <w:rsid w:val="00F960CA"/>
    <w:rsid w:val="00F96345"/>
    <w:rsid w:val="00F963A1"/>
    <w:rsid w:val="00F965DA"/>
    <w:rsid w:val="00F96660"/>
    <w:rsid w:val="00F96A47"/>
    <w:rsid w:val="00F970A5"/>
    <w:rsid w:val="00F97E22"/>
    <w:rsid w:val="00FA0BDF"/>
    <w:rsid w:val="00FA1452"/>
    <w:rsid w:val="00FA1F33"/>
    <w:rsid w:val="00FA406A"/>
    <w:rsid w:val="00FA472E"/>
    <w:rsid w:val="00FA4927"/>
    <w:rsid w:val="00FA4B00"/>
    <w:rsid w:val="00FA4CA6"/>
    <w:rsid w:val="00FA4D09"/>
    <w:rsid w:val="00FA631E"/>
    <w:rsid w:val="00FA6436"/>
    <w:rsid w:val="00FA6B93"/>
    <w:rsid w:val="00FA71FA"/>
    <w:rsid w:val="00FB09F9"/>
    <w:rsid w:val="00FB12A2"/>
    <w:rsid w:val="00FB1392"/>
    <w:rsid w:val="00FB163E"/>
    <w:rsid w:val="00FB2EF5"/>
    <w:rsid w:val="00FB3FEA"/>
    <w:rsid w:val="00FB442B"/>
    <w:rsid w:val="00FB503A"/>
    <w:rsid w:val="00FB516C"/>
    <w:rsid w:val="00FB5C90"/>
    <w:rsid w:val="00FB6AA3"/>
    <w:rsid w:val="00FB7C6A"/>
    <w:rsid w:val="00FC0343"/>
    <w:rsid w:val="00FC108F"/>
    <w:rsid w:val="00FC167C"/>
    <w:rsid w:val="00FC2028"/>
    <w:rsid w:val="00FC242B"/>
    <w:rsid w:val="00FC30D3"/>
    <w:rsid w:val="00FC3D31"/>
    <w:rsid w:val="00FC5CC6"/>
    <w:rsid w:val="00FC6610"/>
    <w:rsid w:val="00FC6A26"/>
    <w:rsid w:val="00FC6D6C"/>
    <w:rsid w:val="00FC6E07"/>
    <w:rsid w:val="00FC6F6B"/>
    <w:rsid w:val="00FC7053"/>
    <w:rsid w:val="00FC7F37"/>
    <w:rsid w:val="00FC7F96"/>
    <w:rsid w:val="00FD017B"/>
    <w:rsid w:val="00FD0236"/>
    <w:rsid w:val="00FD0A06"/>
    <w:rsid w:val="00FD0B07"/>
    <w:rsid w:val="00FD18F4"/>
    <w:rsid w:val="00FD18FB"/>
    <w:rsid w:val="00FD1DAE"/>
    <w:rsid w:val="00FD201F"/>
    <w:rsid w:val="00FD28AA"/>
    <w:rsid w:val="00FD3057"/>
    <w:rsid w:val="00FD3967"/>
    <w:rsid w:val="00FD3C7A"/>
    <w:rsid w:val="00FD523E"/>
    <w:rsid w:val="00FD54DB"/>
    <w:rsid w:val="00FD619F"/>
    <w:rsid w:val="00FD6375"/>
    <w:rsid w:val="00FD6CCC"/>
    <w:rsid w:val="00FE2319"/>
    <w:rsid w:val="00FE250B"/>
    <w:rsid w:val="00FE3292"/>
    <w:rsid w:val="00FE3416"/>
    <w:rsid w:val="00FE3430"/>
    <w:rsid w:val="00FE3967"/>
    <w:rsid w:val="00FE5A10"/>
    <w:rsid w:val="00FE6607"/>
    <w:rsid w:val="00FE68CB"/>
    <w:rsid w:val="00FE7156"/>
    <w:rsid w:val="00FE7F4F"/>
    <w:rsid w:val="00FF095A"/>
    <w:rsid w:val="00FF197A"/>
    <w:rsid w:val="00FF1EA1"/>
    <w:rsid w:val="00FF2EF7"/>
    <w:rsid w:val="00FF333C"/>
    <w:rsid w:val="00FF336C"/>
    <w:rsid w:val="00FF4693"/>
    <w:rsid w:val="00FF4C3D"/>
    <w:rsid w:val="00FF5448"/>
    <w:rsid w:val="00FF5C71"/>
    <w:rsid w:val="00FF5DA8"/>
    <w:rsid w:val="00FF5E94"/>
    <w:rsid w:val="00FF67A6"/>
    <w:rsid w:val="01290F7E"/>
    <w:rsid w:val="015D1E09"/>
    <w:rsid w:val="0172645F"/>
    <w:rsid w:val="02340A7D"/>
    <w:rsid w:val="02697903"/>
    <w:rsid w:val="0297347A"/>
    <w:rsid w:val="02F96569"/>
    <w:rsid w:val="03327EBF"/>
    <w:rsid w:val="03C03B68"/>
    <w:rsid w:val="03EA7B21"/>
    <w:rsid w:val="0463696C"/>
    <w:rsid w:val="049E0448"/>
    <w:rsid w:val="059259DA"/>
    <w:rsid w:val="05F83EAE"/>
    <w:rsid w:val="063A22DD"/>
    <w:rsid w:val="063E7D85"/>
    <w:rsid w:val="067E1167"/>
    <w:rsid w:val="07293586"/>
    <w:rsid w:val="07295285"/>
    <w:rsid w:val="07337051"/>
    <w:rsid w:val="074116EB"/>
    <w:rsid w:val="07522C24"/>
    <w:rsid w:val="07636392"/>
    <w:rsid w:val="07770C56"/>
    <w:rsid w:val="0793389E"/>
    <w:rsid w:val="090814B1"/>
    <w:rsid w:val="092217DD"/>
    <w:rsid w:val="093A7294"/>
    <w:rsid w:val="096515CA"/>
    <w:rsid w:val="0A263993"/>
    <w:rsid w:val="0A2D3AC2"/>
    <w:rsid w:val="0AA755DF"/>
    <w:rsid w:val="0B075582"/>
    <w:rsid w:val="0B0E5217"/>
    <w:rsid w:val="0B120D44"/>
    <w:rsid w:val="0B123F4F"/>
    <w:rsid w:val="0BD27BF6"/>
    <w:rsid w:val="0C325418"/>
    <w:rsid w:val="0C3B3C7D"/>
    <w:rsid w:val="0CA065CC"/>
    <w:rsid w:val="0CAB2EAE"/>
    <w:rsid w:val="0D621C7D"/>
    <w:rsid w:val="0E6463D9"/>
    <w:rsid w:val="0E73034D"/>
    <w:rsid w:val="0F13775A"/>
    <w:rsid w:val="0F5F45FE"/>
    <w:rsid w:val="0F9A112B"/>
    <w:rsid w:val="0FAA290E"/>
    <w:rsid w:val="106D2F64"/>
    <w:rsid w:val="109012CB"/>
    <w:rsid w:val="109465E0"/>
    <w:rsid w:val="10B63710"/>
    <w:rsid w:val="10F10820"/>
    <w:rsid w:val="111C2F7A"/>
    <w:rsid w:val="11251848"/>
    <w:rsid w:val="11665CA1"/>
    <w:rsid w:val="12061366"/>
    <w:rsid w:val="12F473A6"/>
    <w:rsid w:val="13506DEC"/>
    <w:rsid w:val="13951726"/>
    <w:rsid w:val="13B8334A"/>
    <w:rsid w:val="14396509"/>
    <w:rsid w:val="1475419E"/>
    <w:rsid w:val="14B8360C"/>
    <w:rsid w:val="14DD2C3C"/>
    <w:rsid w:val="156464D1"/>
    <w:rsid w:val="159578AA"/>
    <w:rsid w:val="16087E1D"/>
    <w:rsid w:val="16CD5C78"/>
    <w:rsid w:val="17701D14"/>
    <w:rsid w:val="17735226"/>
    <w:rsid w:val="188B6B8D"/>
    <w:rsid w:val="189F624C"/>
    <w:rsid w:val="19A94062"/>
    <w:rsid w:val="19FB165D"/>
    <w:rsid w:val="1A1C66C0"/>
    <w:rsid w:val="1A42393B"/>
    <w:rsid w:val="1AAD45DE"/>
    <w:rsid w:val="1B046F80"/>
    <w:rsid w:val="1B0477B0"/>
    <w:rsid w:val="1B2C7768"/>
    <w:rsid w:val="1B3267B5"/>
    <w:rsid w:val="1B40161D"/>
    <w:rsid w:val="1B441859"/>
    <w:rsid w:val="1B6606B1"/>
    <w:rsid w:val="1C5E7925"/>
    <w:rsid w:val="1C937FF1"/>
    <w:rsid w:val="1CFD070F"/>
    <w:rsid w:val="1D5F6196"/>
    <w:rsid w:val="1D6132A5"/>
    <w:rsid w:val="1D773B55"/>
    <w:rsid w:val="1D8E56D5"/>
    <w:rsid w:val="1E7A43DA"/>
    <w:rsid w:val="1EB014BD"/>
    <w:rsid w:val="1F6F0A2C"/>
    <w:rsid w:val="1FE7539E"/>
    <w:rsid w:val="20232A53"/>
    <w:rsid w:val="2026555F"/>
    <w:rsid w:val="20671BE0"/>
    <w:rsid w:val="20963CB8"/>
    <w:rsid w:val="20A81A1B"/>
    <w:rsid w:val="20B07FB6"/>
    <w:rsid w:val="20B646FB"/>
    <w:rsid w:val="213B74B1"/>
    <w:rsid w:val="215A2310"/>
    <w:rsid w:val="219D65D5"/>
    <w:rsid w:val="21DE318A"/>
    <w:rsid w:val="21EF5B80"/>
    <w:rsid w:val="21FA7F22"/>
    <w:rsid w:val="221D3046"/>
    <w:rsid w:val="221F33C3"/>
    <w:rsid w:val="22576990"/>
    <w:rsid w:val="22F47480"/>
    <w:rsid w:val="2355146A"/>
    <w:rsid w:val="239C26C9"/>
    <w:rsid w:val="23DE1C48"/>
    <w:rsid w:val="240210CD"/>
    <w:rsid w:val="240E2C66"/>
    <w:rsid w:val="24502ABF"/>
    <w:rsid w:val="24BF09F7"/>
    <w:rsid w:val="252D53FE"/>
    <w:rsid w:val="2531382D"/>
    <w:rsid w:val="25A0095B"/>
    <w:rsid w:val="25EC2D81"/>
    <w:rsid w:val="276410E8"/>
    <w:rsid w:val="277057A2"/>
    <w:rsid w:val="28422C4E"/>
    <w:rsid w:val="28FB1A18"/>
    <w:rsid w:val="29206EB8"/>
    <w:rsid w:val="29595666"/>
    <w:rsid w:val="295B59E3"/>
    <w:rsid w:val="29874881"/>
    <w:rsid w:val="29E325E0"/>
    <w:rsid w:val="2A452503"/>
    <w:rsid w:val="2A6B668E"/>
    <w:rsid w:val="2B017FCD"/>
    <w:rsid w:val="2B7166D9"/>
    <w:rsid w:val="2BA936A8"/>
    <w:rsid w:val="2C315A5A"/>
    <w:rsid w:val="2C4B1C25"/>
    <w:rsid w:val="2CCB2986"/>
    <w:rsid w:val="2CD6150F"/>
    <w:rsid w:val="2CE97A8C"/>
    <w:rsid w:val="2D8C40BD"/>
    <w:rsid w:val="2D9E56F5"/>
    <w:rsid w:val="2E667F96"/>
    <w:rsid w:val="2E8226AB"/>
    <w:rsid w:val="2EBC18D7"/>
    <w:rsid w:val="2ED34D94"/>
    <w:rsid w:val="2FD065E6"/>
    <w:rsid w:val="2FD90DD2"/>
    <w:rsid w:val="2FD96870"/>
    <w:rsid w:val="30580BC9"/>
    <w:rsid w:val="30FA07F5"/>
    <w:rsid w:val="311E2ED7"/>
    <w:rsid w:val="315619EE"/>
    <w:rsid w:val="315C449C"/>
    <w:rsid w:val="31B82709"/>
    <w:rsid w:val="31D05482"/>
    <w:rsid w:val="32400B34"/>
    <w:rsid w:val="32993168"/>
    <w:rsid w:val="329E6876"/>
    <w:rsid w:val="33277177"/>
    <w:rsid w:val="333015F2"/>
    <w:rsid w:val="334B6320"/>
    <w:rsid w:val="33D934D4"/>
    <w:rsid w:val="33FE2F6A"/>
    <w:rsid w:val="340E07E5"/>
    <w:rsid w:val="34235BF7"/>
    <w:rsid w:val="35812F19"/>
    <w:rsid w:val="358C5FA8"/>
    <w:rsid w:val="35BD5847"/>
    <w:rsid w:val="35C15DF1"/>
    <w:rsid w:val="36074A7F"/>
    <w:rsid w:val="36180DAE"/>
    <w:rsid w:val="36207E81"/>
    <w:rsid w:val="362C4130"/>
    <w:rsid w:val="36923549"/>
    <w:rsid w:val="36B75FBF"/>
    <w:rsid w:val="36BD0C45"/>
    <w:rsid w:val="37E00298"/>
    <w:rsid w:val="37F742DF"/>
    <w:rsid w:val="381F5E17"/>
    <w:rsid w:val="38B302F9"/>
    <w:rsid w:val="38F12CD3"/>
    <w:rsid w:val="38F94775"/>
    <w:rsid w:val="392971ED"/>
    <w:rsid w:val="39325651"/>
    <w:rsid w:val="3A872856"/>
    <w:rsid w:val="3AB56DD5"/>
    <w:rsid w:val="3B3763D1"/>
    <w:rsid w:val="3B72120B"/>
    <w:rsid w:val="3C2F6E1E"/>
    <w:rsid w:val="3C4F64BA"/>
    <w:rsid w:val="3C804BEC"/>
    <w:rsid w:val="3CDA245A"/>
    <w:rsid w:val="3CF93095"/>
    <w:rsid w:val="3D1E06B7"/>
    <w:rsid w:val="3E540F85"/>
    <w:rsid w:val="3EDA0523"/>
    <w:rsid w:val="3F674DEB"/>
    <w:rsid w:val="407A6407"/>
    <w:rsid w:val="41B31835"/>
    <w:rsid w:val="4200449D"/>
    <w:rsid w:val="422D27FB"/>
    <w:rsid w:val="423A3BCC"/>
    <w:rsid w:val="424E57D2"/>
    <w:rsid w:val="425F04A8"/>
    <w:rsid w:val="42B26C49"/>
    <w:rsid w:val="433A6FE6"/>
    <w:rsid w:val="43480868"/>
    <w:rsid w:val="4350713C"/>
    <w:rsid w:val="436653E0"/>
    <w:rsid w:val="43C4431A"/>
    <w:rsid w:val="445D509A"/>
    <w:rsid w:val="44B951CC"/>
    <w:rsid w:val="44CD14E0"/>
    <w:rsid w:val="44F20B0B"/>
    <w:rsid w:val="452E5F4C"/>
    <w:rsid w:val="45612018"/>
    <w:rsid w:val="458946E9"/>
    <w:rsid w:val="45A47C0E"/>
    <w:rsid w:val="46216F28"/>
    <w:rsid w:val="462E6A81"/>
    <w:rsid w:val="46577FD6"/>
    <w:rsid w:val="46D955A7"/>
    <w:rsid w:val="470013B0"/>
    <w:rsid w:val="47133957"/>
    <w:rsid w:val="4752066A"/>
    <w:rsid w:val="47A07E0C"/>
    <w:rsid w:val="4870272E"/>
    <w:rsid w:val="49370656"/>
    <w:rsid w:val="49CD767B"/>
    <w:rsid w:val="49DC7715"/>
    <w:rsid w:val="4A023139"/>
    <w:rsid w:val="4A7B576F"/>
    <w:rsid w:val="4AF561A9"/>
    <w:rsid w:val="4B0A6221"/>
    <w:rsid w:val="4B122420"/>
    <w:rsid w:val="4C4A0649"/>
    <w:rsid w:val="4C7E5ECA"/>
    <w:rsid w:val="4C876AA5"/>
    <w:rsid w:val="4CCC4BAC"/>
    <w:rsid w:val="4D0E00FB"/>
    <w:rsid w:val="4D176606"/>
    <w:rsid w:val="4D50387C"/>
    <w:rsid w:val="4DEC4FB0"/>
    <w:rsid w:val="4E075D8A"/>
    <w:rsid w:val="4EC00FAD"/>
    <w:rsid w:val="4F9843DC"/>
    <w:rsid w:val="4FC62A8C"/>
    <w:rsid w:val="4FE20F0D"/>
    <w:rsid w:val="4FE51552"/>
    <w:rsid w:val="500A3E49"/>
    <w:rsid w:val="50504C4B"/>
    <w:rsid w:val="509C6E7C"/>
    <w:rsid w:val="50B132B5"/>
    <w:rsid w:val="5162104E"/>
    <w:rsid w:val="51D0007A"/>
    <w:rsid w:val="52D33A36"/>
    <w:rsid w:val="53536C88"/>
    <w:rsid w:val="53A039CC"/>
    <w:rsid w:val="53A1505A"/>
    <w:rsid w:val="53F96628"/>
    <w:rsid w:val="54063E08"/>
    <w:rsid w:val="540C2CD2"/>
    <w:rsid w:val="543437E8"/>
    <w:rsid w:val="54F73313"/>
    <w:rsid w:val="54F80955"/>
    <w:rsid w:val="555170A7"/>
    <w:rsid w:val="55816E46"/>
    <w:rsid w:val="5587536D"/>
    <w:rsid w:val="559B174B"/>
    <w:rsid w:val="55CE0CF4"/>
    <w:rsid w:val="561E2912"/>
    <w:rsid w:val="56B22A9C"/>
    <w:rsid w:val="57B72A76"/>
    <w:rsid w:val="57C3426C"/>
    <w:rsid w:val="57CE1F93"/>
    <w:rsid w:val="57FF5081"/>
    <w:rsid w:val="581A26DA"/>
    <w:rsid w:val="588743D1"/>
    <w:rsid w:val="5887701A"/>
    <w:rsid w:val="5890562F"/>
    <w:rsid w:val="59AF4B3E"/>
    <w:rsid w:val="59C0439F"/>
    <w:rsid w:val="5AA426FF"/>
    <w:rsid w:val="5ABE2233"/>
    <w:rsid w:val="5AE442E1"/>
    <w:rsid w:val="5BBF35B4"/>
    <w:rsid w:val="5BDF5D95"/>
    <w:rsid w:val="5BFE7528"/>
    <w:rsid w:val="5C1F7AF2"/>
    <w:rsid w:val="5CDF6812"/>
    <w:rsid w:val="5D9E55D9"/>
    <w:rsid w:val="5DC43608"/>
    <w:rsid w:val="5E2467F1"/>
    <w:rsid w:val="5F1A2B43"/>
    <w:rsid w:val="5FB837BB"/>
    <w:rsid w:val="600C6A2D"/>
    <w:rsid w:val="60BD6024"/>
    <w:rsid w:val="60BF1B2A"/>
    <w:rsid w:val="60CC405A"/>
    <w:rsid w:val="60CC5599"/>
    <w:rsid w:val="61452AF6"/>
    <w:rsid w:val="61464B89"/>
    <w:rsid w:val="61814A42"/>
    <w:rsid w:val="619252E4"/>
    <w:rsid w:val="61A83DCA"/>
    <w:rsid w:val="61E215D8"/>
    <w:rsid w:val="621B3775"/>
    <w:rsid w:val="62364782"/>
    <w:rsid w:val="626457C2"/>
    <w:rsid w:val="635B7050"/>
    <w:rsid w:val="6394356A"/>
    <w:rsid w:val="63C61B2C"/>
    <w:rsid w:val="63D40BE9"/>
    <w:rsid w:val="63DB5F32"/>
    <w:rsid w:val="64102431"/>
    <w:rsid w:val="64A5243A"/>
    <w:rsid w:val="64AD15DC"/>
    <w:rsid w:val="64F531DE"/>
    <w:rsid w:val="6533665E"/>
    <w:rsid w:val="65373578"/>
    <w:rsid w:val="65AE09AF"/>
    <w:rsid w:val="66887BBA"/>
    <w:rsid w:val="66E77B37"/>
    <w:rsid w:val="67121AA1"/>
    <w:rsid w:val="671F124A"/>
    <w:rsid w:val="677A33C6"/>
    <w:rsid w:val="68000A87"/>
    <w:rsid w:val="681F6961"/>
    <w:rsid w:val="68410522"/>
    <w:rsid w:val="68610A2F"/>
    <w:rsid w:val="68805514"/>
    <w:rsid w:val="68A14FDC"/>
    <w:rsid w:val="69316E2F"/>
    <w:rsid w:val="693B7424"/>
    <w:rsid w:val="694E2071"/>
    <w:rsid w:val="69766163"/>
    <w:rsid w:val="697A3B33"/>
    <w:rsid w:val="69D44760"/>
    <w:rsid w:val="6A520EC7"/>
    <w:rsid w:val="6AF87E20"/>
    <w:rsid w:val="6B322639"/>
    <w:rsid w:val="6B79759B"/>
    <w:rsid w:val="6BE501A1"/>
    <w:rsid w:val="6BF379B2"/>
    <w:rsid w:val="6C636C38"/>
    <w:rsid w:val="6CCD0B94"/>
    <w:rsid w:val="6CE06F93"/>
    <w:rsid w:val="6DB34098"/>
    <w:rsid w:val="6DB545B6"/>
    <w:rsid w:val="6DE02FB4"/>
    <w:rsid w:val="6E2E0A11"/>
    <w:rsid w:val="6E514CED"/>
    <w:rsid w:val="6EB563D5"/>
    <w:rsid w:val="6ED92677"/>
    <w:rsid w:val="6F03071B"/>
    <w:rsid w:val="6F225983"/>
    <w:rsid w:val="6FE46139"/>
    <w:rsid w:val="6FFC5590"/>
    <w:rsid w:val="70161DF4"/>
    <w:rsid w:val="706D1DD0"/>
    <w:rsid w:val="70856B87"/>
    <w:rsid w:val="70D527EE"/>
    <w:rsid w:val="71523F13"/>
    <w:rsid w:val="715B5300"/>
    <w:rsid w:val="71D27F8A"/>
    <w:rsid w:val="72553024"/>
    <w:rsid w:val="72E43E9D"/>
    <w:rsid w:val="73122968"/>
    <w:rsid w:val="731F5D5E"/>
    <w:rsid w:val="73645E7C"/>
    <w:rsid w:val="73BF7CBC"/>
    <w:rsid w:val="73C51AD5"/>
    <w:rsid w:val="7408315C"/>
    <w:rsid w:val="741E793C"/>
    <w:rsid w:val="745E3944"/>
    <w:rsid w:val="75AF6208"/>
    <w:rsid w:val="7635099D"/>
    <w:rsid w:val="77005DC7"/>
    <w:rsid w:val="77762421"/>
    <w:rsid w:val="77AE24B3"/>
    <w:rsid w:val="77B56B1F"/>
    <w:rsid w:val="77D4014D"/>
    <w:rsid w:val="780F09F4"/>
    <w:rsid w:val="78492627"/>
    <w:rsid w:val="78744ECF"/>
    <w:rsid w:val="78A90480"/>
    <w:rsid w:val="79BB6E4A"/>
    <w:rsid w:val="7A364017"/>
    <w:rsid w:val="7A8265E1"/>
    <w:rsid w:val="7B686D42"/>
    <w:rsid w:val="7B841746"/>
    <w:rsid w:val="7BD05435"/>
    <w:rsid w:val="7BE80FA2"/>
    <w:rsid w:val="7C6C5AC7"/>
    <w:rsid w:val="7CC6544B"/>
    <w:rsid w:val="7D0239FF"/>
    <w:rsid w:val="7D5E40CD"/>
    <w:rsid w:val="7DCD56F2"/>
    <w:rsid w:val="7F001CE7"/>
    <w:rsid w:val="7FE47E5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0" w:semiHidden="0" w:name="heading 3" w:locked="1"/>
    <w:lsdException w:qFormat="1" w:unhideWhenUsed="0"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uiPriority="0" w:name="toc 1" w:locked="1"/>
    <w:lsdException w:uiPriority="0" w:name="toc 2" w:locked="1"/>
    <w:lsdException w:uiPriority="0" w:name="toc 3" w:locked="1"/>
    <w:lsdException w:uiPriority="0" w:name="toc 4" w:locked="1"/>
    <w:lsdException w:uiPriority="0" w:name="toc 5" w:locked="1"/>
    <w:lsdException w:uiPriority="0" w:name="toc 6" w:locked="1"/>
    <w:lsdException w:qFormat="1" w:uiPriority="39" w:semiHidden="0" w:name="toc 7" w:locked="1"/>
    <w:lsdException w:uiPriority="0" w:name="toc 8" w:locked="1"/>
    <w:lsdException w:uiPriority="0" w:name="toc 9" w:locked="1"/>
    <w:lsdException w:qFormat="1" w:unhideWhenUsed="0" w:uiPriority="0" w:semiHidden="0" w:name="Normal Indent" w:locked="1"/>
    <w:lsdException w:uiPriority="0" w:name="footnote text" w:locked="1"/>
    <w:lsdException w:qFormat="1" w:unhideWhenUsed="0" w:uiPriority="99" w:semiHidden="0" w:name="annotation text"/>
    <w:lsdException w:qFormat="1" w:unhideWhenUsed="0" w:uiPriority="0" w:semiHidden="0" w:name="header"/>
    <w:lsdException w:qFormat="1" w:unhideWhenUsed="0" w:uiPriority="99" w:semiHidden="0" w:name="footer"/>
    <w:lsdException w:uiPriority="0" w:name="index heading" w:locked="1"/>
    <w:lsdException w:qFormat="1" w:uiPriority="0" w:semiHidden="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99"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unhideWhenUsed="0" w:uiPriority="0" w:semiHidden="0" w:name="table of authorities" w:locked="1"/>
    <w:lsdException w:uiPriority="0" w:name="macro" w:locked="1"/>
    <w:lsdException w:uiPriority="0" w:name="toa heading" w:locked="1"/>
    <w:lsdException w:qFormat="1" w:unhideWhenUsed="0" w:uiPriority="0" w:semiHidden="0" w:name="List" w:locked="1"/>
    <w:lsdException w:unhideWhenUsed="0" w:uiPriority="0" w:semiHidden="0" w:name="List Bullet" w:locked="1"/>
    <w:lsdException w:uiPriority="0" w:name="List Number" w:locked="1"/>
    <w:lsdException w:uiPriority="0" w:name="List 2" w:locked="1"/>
    <w:lsdException w:uiPriority="0" w:name="List 3" w:locked="1"/>
    <w:lsdException w:uiPriority="0" w:name="List 4" w:locked="1"/>
    <w:lsdException w:uiPriority="0" w:name="List 5" w:locked="1"/>
    <w:lsdException w:uiPriority="0" w:name="List Bullet 2" w:locked="1"/>
    <w:lsdException w:uiPriority="0" w:name="List Bullet 3" w:locked="1"/>
    <w:lsdException w:uiPriority="0" w:name="List Bullet 4" w:locked="1"/>
    <w:lsdException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iPriority="0" w:name="Message Header" w:locked="1"/>
    <w:lsdException w:qFormat="1" w:unhideWhenUsed="0" w:uiPriority="11" w:semiHidden="0" w:name="Subtitle" w:locked="1"/>
    <w:lsdException w:uiPriority="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iPriority="0" w:name="Note Heading" w:locked="1"/>
    <w:lsdException w:uiPriority="0" w:name="Body Text 2" w:locked="1"/>
    <w:lsdException w:uiPriority="0" w:name="Body Text 3" w:locked="1"/>
    <w:lsdException w:qFormat="1" w:unhideWhenUsed="0" w:uiPriority="0" w:semiHidden="0" w:name="Body Text Indent 2" w:locked="1"/>
    <w:lsdException w:uiPriority="0" w:name="Body Text Indent 3" w:locked="1"/>
    <w:lsdException w:uiPriority="0" w:name="Block Text" w:locked="1"/>
    <w:lsdException w:qFormat="1" w:unhideWhenUsed="0" w:uiPriority="0" w:semiHidden="0" w:name="Hyperlink" w:locked="1"/>
    <w:lsdException w:uiPriority="0" w:name="FollowedHyperlink" w:locked="1"/>
    <w:lsdException w:qFormat="1" w:unhideWhenUsed="0" w:uiPriority="0" w:semiHidden="0" w:name="Strong" w:locked="1"/>
    <w:lsdException w:qFormat="1" w:unhideWhenUsed="0" w:uiPriority="0" w:semiHidden="0" w:name="Emphasis" w:locked="1"/>
    <w:lsdException w:qFormat="1" w:uiPriority="0" w:name="Document Map" w:locked="1"/>
    <w:lsdException w:qFormat="1" w:unhideWhenUsed="0" w:uiPriority="0" w:semiHidden="0" w:name="Plain Text" w:locked="1"/>
    <w:lsdException w:uiPriority="0" w:name="E-mail Signature" w:locked="1"/>
    <w:lsdException w:qFormat="1" w:unhideWhenUsed="0" w:uiPriority="0"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4">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link w:val="80"/>
    <w:semiHidden/>
    <w:unhideWhenUsed/>
    <w:qFormat/>
    <w:locked/>
    <w:uiPriority w:val="0"/>
    <w:pPr>
      <w:keepNext/>
      <w:keepLines/>
      <w:spacing w:before="260" w:after="260" w:line="416" w:lineRule="auto"/>
      <w:outlineLvl w:val="1"/>
    </w:pPr>
    <w:rPr>
      <w:rFonts w:ascii="Cambria" w:hAnsi="Cambria"/>
      <w:b/>
      <w:bCs/>
      <w:sz w:val="32"/>
      <w:szCs w:val="32"/>
    </w:rPr>
  </w:style>
  <w:style w:type="paragraph" w:styleId="6">
    <w:name w:val="heading 3"/>
    <w:basedOn w:val="1"/>
    <w:next w:val="1"/>
    <w:qFormat/>
    <w:locked/>
    <w:uiPriority w:val="0"/>
    <w:pPr>
      <w:outlineLvl w:val="2"/>
    </w:pPr>
    <w:rPr>
      <w:rFonts w:eastAsia="仿宋"/>
      <w:b/>
      <w:bCs/>
      <w:kern w:val="0"/>
      <w:sz w:val="24"/>
      <w:szCs w:val="28"/>
    </w:rPr>
  </w:style>
  <w:style w:type="paragraph" w:styleId="7">
    <w:name w:val="heading 4"/>
    <w:basedOn w:val="1"/>
    <w:next w:val="1"/>
    <w:qFormat/>
    <w:locked/>
    <w:uiPriority w:val="9"/>
    <w:pPr>
      <w:spacing w:before="240" w:after="60"/>
      <w:outlineLvl w:val="3"/>
    </w:pPr>
    <w:rPr>
      <w:rFonts w:eastAsia="黑体"/>
      <w:b/>
      <w:bCs/>
      <w:szCs w:val="28"/>
    </w:rPr>
  </w:style>
  <w:style w:type="character" w:default="1" w:styleId="28">
    <w:name w:val="Default Paragraph Font"/>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locked/>
    <w:uiPriority w:val="0"/>
    <w:pPr>
      <w:ind w:firstLine="420"/>
    </w:pPr>
    <w:rPr>
      <w:sz w:val="20"/>
    </w:rPr>
  </w:style>
  <w:style w:type="paragraph" w:styleId="3">
    <w:name w:val="Body Text Indent"/>
    <w:basedOn w:val="1"/>
    <w:next w:val="2"/>
    <w:link w:val="35"/>
    <w:qFormat/>
    <w:uiPriority w:val="0"/>
    <w:pPr>
      <w:spacing w:after="120"/>
      <w:ind w:left="420" w:leftChars="200"/>
    </w:pPr>
    <w:rPr>
      <w:kern w:val="0"/>
      <w:sz w:val="24"/>
      <w:szCs w:val="20"/>
    </w:rPr>
  </w:style>
  <w:style w:type="paragraph" w:styleId="8">
    <w:name w:val="toc 7"/>
    <w:basedOn w:val="1"/>
    <w:next w:val="1"/>
    <w:unhideWhenUsed/>
    <w:qFormat/>
    <w:locked/>
    <w:uiPriority w:val="39"/>
    <w:pPr>
      <w:ind w:left="2520" w:leftChars="1200"/>
    </w:pPr>
    <w:rPr>
      <w:rFonts w:asciiTheme="minorHAnsi" w:hAnsiTheme="minorHAnsi" w:eastAsiaTheme="minorEastAsia" w:cstheme="minorBidi"/>
      <w:szCs w:val="22"/>
    </w:rPr>
  </w:style>
  <w:style w:type="paragraph" w:styleId="9">
    <w:name w:val="Normal Indent"/>
    <w:basedOn w:val="1"/>
    <w:next w:val="1"/>
    <w:qFormat/>
    <w:locked/>
    <w:uiPriority w:val="0"/>
    <w:rPr>
      <w:sz w:val="24"/>
    </w:rPr>
  </w:style>
  <w:style w:type="paragraph" w:styleId="10">
    <w:name w:val="caption"/>
    <w:basedOn w:val="1"/>
    <w:next w:val="1"/>
    <w:unhideWhenUsed/>
    <w:qFormat/>
    <w:locked/>
    <w:uiPriority w:val="0"/>
    <w:pPr>
      <w:spacing w:line="520" w:lineRule="exact"/>
      <w:ind w:firstLine="480" w:firstLineChars="200"/>
    </w:pPr>
    <w:rPr>
      <w:rFonts w:ascii="等线 Light" w:hAnsi="等线 Light" w:eastAsia="黑体"/>
      <w:sz w:val="20"/>
      <w:szCs w:val="20"/>
    </w:rPr>
  </w:style>
  <w:style w:type="paragraph" w:styleId="11">
    <w:name w:val="Document Map"/>
    <w:basedOn w:val="1"/>
    <w:link w:val="104"/>
    <w:semiHidden/>
    <w:unhideWhenUsed/>
    <w:qFormat/>
    <w:locked/>
    <w:uiPriority w:val="0"/>
    <w:rPr>
      <w:rFonts w:ascii="宋体"/>
      <w:sz w:val="18"/>
      <w:szCs w:val="18"/>
    </w:rPr>
  </w:style>
  <w:style w:type="paragraph" w:styleId="12">
    <w:name w:val="annotation text"/>
    <w:basedOn w:val="1"/>
    <w:link w:val="33"/>
    <w:qFormat/>
    <w:uiPriority w:val="99"/>
    <w:pPr>
      <w:jc w:val="left"/>
    </w:pPr>
    <w:rPr>
      <w:kern w:val="0"/>
      <w:sz w:val="24"/>
      <w:szCs w:val="20"/>
    </w:rPr>
  </w:style>
  <w:style w:type="paragraph" w:styleId="13">
    <w:name w:val="Body Text"/>
    <w:basedOn w:val="1"/>
    <w:next w:val="1"/>
    <w:link w:val="34"/>
    <w:qFormat/>
    <w:uiPriority w:val="0"/>
    <w:pPr>
      <w:widowControl/>
      <w:snapToGrid w:val="0"/>
      <w:spacing w:before="60" w:after="160" w:line="259" w:lineRule="auto"/>
      <w:ind w:right="113"/>
    </w:pPr>
    <w:rPr>
      <w:kern w:val="0"/>
      <w:sz w:val="18"/>
      <w:szCs w:val="20"/>
    </w:rPr>
  </w:style>
  <w:style w:type="paragraph" w:styleId="14">
    <w:name w:val="Plain Text"/>
    <w:basedOn w:val="1"/>
    <w:qFormat/>
    <w:locked/>
    <w:uiPriority w:val="0"/>
    <w:rPr>
      <w:rFonts w:hAnsi="Courier New" w:cs="Courier New"/>
      <w:szCs w:val="21"/>
    </w:rPr>
  </w:style>
  <w:style w:type="paragraph" w:styleId="15">
    <w:name w:val="Date"/>
    <w:basedOn w:val="1"/>
    <w:next w:val="1"/>
    <w:link w:val="36"/>
    <w:qFormat/>
    <w:uiPriority w:val="0"/>
    <w:pPr>
      <w:ind w:left="100" w:leftChars="2500"/>
    </w:pPr>
    <w:rPr>
      <w:kern w:val="0"/>
      <w:sz w:val="24"/>
      <w:szCs w:val="20"/>
    </w:rPr>
  </w:style>
  <w:style w:type="paragraph" w:styleId="16">
    <w:name w:val="Body Text Indent 2"/>
    <w:basedOn w:val="1"/>
    <w:qFormat/>
    <w:locked/>
    <w:uiPriority w:val="0"/>
    <w:pPr>
      <w:spacing w:after="120" w:line="480" w:lineRule="auto"/>
      <w:ind w:left="420" w:leftChars="200"/>
    </w:pPr>
    <w:rPr>
      <w:sz w:val="28"/>
      <w:szCs w:val="20"/>
    </w:rPr>
  </w:style>
  <w:style w:type="paragraph" w:styleId="17">
    <w:name w:val="Balloon Text"/>
    <w:basedOn w:val="1"/>
    <w:link w:val="37"/>
    <w:semiHidden/>
    <w:qFormat/>
    <w:uiPriority w:val="0"/>
    <w:rPr>
      <w:kern w:val="0"/>
      <w:sz w:val="18"/>
      <w:szCs w:val="20"/>
    </w:rPr>
  </w:style>
  <w:style w:type="paragraph" w:styleId="18">
    <w:name w:val="footer"/>
    <w:basedOn w:val="1"/>
    <w:next w:val="1"/>
    <w:link w:val="38"/>
    <w:qFormat/>
    <w:uiPriority w:val="99"/>
    <w:pPr>
      <w:tabs>
        <w:tab w:val="center" w:pos="4153"/>
        <w:tab w:val="right" w:pos="8306"/>
      </w:tabs>
      <w:snapToGrid w:val="0"/>
      <w:jc w:val="left"/>
    </w:pPr>
    <w:rPr>
      <w:kern w:val="0"/>
      <w:sz w:val="18"/>
      <w:szCs w:val="20"/>
    </w:rPr>
  </w:style>
  <w:style w:type="paragraph" w:styleId="19">
    <w:name w:val="header"/>
    <w:basedOn w:val="1"/>
    <w:link w:val="39"/>
    <w:qFormat/>
    <w:uiPriority w:val="0"/>
    <w:pPr>
      <w:pBdr>
        <w:bottom w:val="single" w:color="auto" w:sz="6" w:space="1"/>
      </w:pBdr>
      <w:tabs>
        <w:tab w:val="center" w:pos="4153"/>
        <w:tab w:val="right" w:pos="8306"/>
      </w:tabs>
      <w:snapToGrid w:val="0"/>
      <w:jc w:val="center"/>
    </w:pPr>
    <w:rPr>
      <w:kern w:val="0"/>
      <w:sz w:val="18"/>
      <w:szCs w:val="20"/>
    </w:rPr>
  </w:style>
  <w:style w:type="paragraph" w:styleId="20">
    <w:name w:val="Subtitle"/>
    <w:basedOn w:val="1"/>
    <w:next w:val="1"/>
    <w:qFormat/>
    <w:locked/>
    <w:uiPriority w:val="11"/>
    <w:pPr>
      <w:spacing w:before="240" w:after="60"/>
      <w:outlineLvl w:val="3"/>
    </w:pPr>
    <w:rPr>
      <w:rFonts w:eastAsia="黑体"/>
      <w:bCs/>
      <w:szCs w:val="32"/>
    </w:rPr>
  </w:style>
  <w:style w:type="paragraph" w:styleId="21">
    <w:name w:val="List"/>
    <w:basedOn w:val="1"/>
    <w:qFormat/>
    <w:locked/>
    <w:uiPriority w:val="0"/>
    <w:pPr>
      <w:spacing w:line="320" w:lineRule="exact"/>
      <w:jc w:val="center"/>
    </w:pPr>
    <w:rPr>
      <w:sz w:val="22"/>
    </w:rPr>
  </w:style>
  <w:style w:type="paragraph" w:styleId="22">
    <w:name w:val="Normal (Web)"/>
    <w:basedOn w:val="1"/>
    <w:link w:val="40"/>
    <w:qFormat/>
    <w:uiPriority w:val="0"/>
    <w:pPr>
      <w:widowControl/>
      <w:spacing w:before="100" w:beforeAutospacing="1" w:after="100" w:afterAutospacing="1"/>
      <w:jc w:val="left"/>
    </w:pPr>
    <w:rPr>
      <w:rFonts w:ascii="宋体" w:hAnsi="宋体"/>
      <w:kern w:val="0"/>
      <w:sz w:val="24"/>
      <w:szCs w:val="20"/>
    </w:rPr>
  </w:style>
  <w:style w:type="paragraph" w:styleId="23">
    <w:name w:val="Title"/>
    <w:basedOn w:val="1"/>
    <w:link w:val="90"/>
    <w:qFormat/>
    <w:locked/>
    <w:uiPriority w:val="0"/>
    <w:pPr>
      <w:spacing w:before="240" w:after="60"/>
      <w:jc w:val="left"/>
      <w:outlineLvl w:val="0"/>
    </w:pPr>
    <w:rPr>
      <w:b/>
      <w:bCs/>
      <w:kern w:val="0"/>
      <w:sz w:val="24"/>
      <w:szCs w:val="32"/>
    </w:rPr>
  </w:style>
  <w:style w:type="paragraph" w:styleId="24">
    <w:name w:val="annotation subject"/>
    <w:basedOn w:val="12"/>
    <w:next w:val="12"/>
    <w:link w:val="41"/>
    <w:semiHidden/>
    <w:qFormat/>
    <w:uiPriority w:val="0"/>
    <w:rPr>
      <w:b/>
      <w:kern w:val="2"/>
    </w:rPr>
  </w:style>
  <w:style w:type="paragraph" w:styleId="25">
    <w:name w:val="Body Text First Indent"/>
    <w:basedOn w:val="13"/>
    <w:next w:val="1"/>
    <w:qFormat/>
    <w:locked/>
    <w:uiPriority w:val="0"/>
    <w:pPr>
      <w:ind w:firstLine="420" w:firstLineChars="100"/>
    </w:p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page number"/>
    <w:basedOn w:val="28"/>
    <w:qFormat/>
    <w:locked/>
    <w:uiPriority w:val="0"/>
  </w:style>
  <w:style w:type="character" w:styleId="30">
    <w:name w:val="Hyperlink"/>
    <w:basedOn w:val="28"/>
    <w:qFormat/>
    <w:locked/>
    <w:uiPriority w:val="0"/>
    <w:rPr>
      <w:color w:val="0000FF"/>
      <w:u w:val="single"/>
    </w:rPr>
  </w:style>
  <w:style w:type="character" w:styleId="31">
    <w:name w:val="annotation reference"/>
    <w:semiHidden/>
    <w:qFormat/>
    <w:uiPriority w:val="99"/>
    <w:rPr>
      <w:sz w:val="21"/>
    </w:rPr>
  </w:style>
  <w:style w:type="paragraph" w:customStyle="1" w:styleId="32">
    <w:name w:val="表格文字"/>
    <w:basedOn w:val="14"/>
    <w:next w:val="1"/>
    <w:qFormat/>
    <w:uiPriority w:val="0"/>
    <w:pPr>
      <w:jc w:val="center"/>
    </w:pPr>
    <w:rPr>
      <w:rFonts w:ascii="仿宋_GB2312" w:hAnsi="Arial Black" w:eastAsia="仿宋_GB2312"/>
      <w:kern w:val="44"/>
    </w:rPr>
  </w:style>
  <w:style w:type="character" w:customStyle="1" w:styleId="33">
    <w:name w:val="批注文字 字符2"/>
    <w:link w:val="12"/>
    <w:qFormat/>
    <w:locked/>
    <w:uiPriority w:val="0"/>
    <w:rPr>
      <w:rFonts w:ascii="Times New Roman" w:hAnsi="Times New Roman" w:eastAsia="宋体"/>
      <w:sz w:val="24"/>
    </w:rPr>
  </w:style>
  <w:style w:type="character" w:customStyle="1" w:styleId="34">
    <w:name w:val="正文文本 字符"/>
    <w:link w:val="13"/>
    <w:qFormat/>
    <w:locked/>
    <w:uiPriority w:val="0"/>
    <w:rPr>
      <w:sz w:val="18"/>
    </w:rPr>
  </w:style>
  <w:style w:type="character" w:customStyle="1" w:styleId="35">
    <w:name w:val="正文文本缩进 字符"/>
    <w:link w:val="3"/>
    <w:semiHidden/>
    <w:qFormat/>
    <w:locked/>
    <w:uiPriority w:val="0"/>
    <w:rPr>
      <w:rFonts w:ascii="Times New Roman" w:hAnsi="Times New Roman" w:eastAsia="宋体"/>
      <w:sz w:val="24"/>
    </w:rPr>
  </w:style>
  <w:style w:type="character" w:customStyle="1" w:styleId="36">
    <w:name w:val="日期 字符1"/>
    <w:link w:val="15"/>
    <w:qFormat/>
    <w:locked/>
    <w:uiPriority w:val="0"/>
    <w:rPr>
      <w:rFonts w:ascii="Times New Roman" w:hAnsi="Times New Roman" w:eastAsia="宋体"/>
      <w:sz w:val="24"/>
    </w:rPr>
  </w:style>
  <w:style w:type="character" w:customStyle="1" w:styleId="37">
    <w:name w:val="批注框文本 字符"/>
    <w:link w:val="17"/>
    <w:semiHidden/>
    <w:qFormat/>
    <w:locked/>
    <w:uiPriority w:val="0"/>
    <w:rPr>
      <w:rFonts w:ascii="Times New Roman" w:hAnsi="Times New Roman" w:eastAsia="宋体"/>
      <w:sz w:val="18"/>
    </w:rPr>
  </w:style>
  <w:style w:type="character" w:customStyle="1" w:styleId="38">
    <w:name w:val="页脚 字符1"/>
    <w:link w:val="18"/>
    <w:qFormat/>
    <w:locked/>
    <w:uiPriority w:val="99"/>
    <w:rPr>
      <w:sz w:val="18"/>
    </w:rPr>
  </w:style>
  <w:style w:type="character" w:customStyle="1" w:styleId="39">
    <w:name w:val="页眉 字符"/>
    <w:link w:val="19"/>
    <w:qFormat/>
    <w:locked/>
    <w:uiPriority w:val="0"/>
    <w:rPr>
      <w:sz w:val="18"/>
    </w:rPr>
  </w:style>
  <w:style w:type="character" w:customStyle="1" w:styleId="40">
    <w:name w:val="普通(网站) 字符"/>
    <w:link w:val="22"/>
    <w:qFormat/>
    <w:locked/>
    <w:uiPriority w:val="0"/>
    <w:rPr>
      <w:rFonts w:ascii="宋体" w:hAnsi="宋体" w:eastAsia="宋体"/>
      <w:sz w:val="24"/>
    </w:rPr>
  </w:style>
  <w:style w:type="character" w:customStyle="1" w:styleId="41">
    <w:name w:val="批注主题 字符"/>
    <w:link w:val="24"/>
    <w:semiHidden/>
    <w:qFormat/>
    <w:locked/>
    <w:uiPriority w:val="0"/>
    <w:rPr>
      <w:rFonts w:ascii="Times New Roman" w:hAnsi="Times New Roman" w:eastAsia="宋体"/>
      <w:b/>
      <w:kern w:val="2"/>
      <w:sz w:val="24"/>
    </w:rPr>
  </w:style>
  <w:style w:type="paragraph" w:customStyle="1" w:styleId="42">
    <w:name w:val="表头"/>
    <w:basedOn w:val="43"/>
    <w:link w:val="98"/>
    <w:qFormat/>
    <w:uiPriority w:val="0"/>
    <w:pPr>
      <w:adjustRightInd w:val="0"/>
      <w:snapToGrid w:val="0"/>
      <w:ind w:firstLine="0" w:firstLineChars="0"/>
      <w:jc w:val="center"/>
    </w:pPr>
    <w:rPr>
      <w:rFonts w:ascii="宋体" w:hAnsi="宋体" w:eastAsia="黑体"/>
      <w:szCs w:val="18"/>
      <w:lang w:eastAsia="en-US"/>
    </w:rPr>
  </w:style>
  <w:style w:type="paragraph" w:customStyle="1" w:styleId="43">
    <w:name w:val="【正文】"/>
    <w:basedOn w:val="1"/>
    <w:next w:val="1"/>
    <w:link w:val="79"/>
    <w:qFormat/>
    <w:uiPriority w:val="0"/>
    <w:pPr>
      <w:ind w:firstLine="200" w:firstLineChars="200"/>
    </w:pPr>
    <w:rPr>
      <w:sz w:val="24"/>
      <w:szCs w:val="20"/>
    </w:rPr>
  </w:style>
  <w:style w:type="paragraph" w:customStyle="1" w:styleId="44">
    <w:name w:val="Date1"/>
    <w:basedOn w:val="1"/>
    <w:next w:val="1"/>
    <w:qFormat/>
    <w:uiPriority w:val="0"/>
    <w:pPr>
      <w:adjustRightInd w:val="0"/>
      <w:jc w:val="left"/>
      <w:textAlignment w:val="baseline"/>
    </w:pPr>
    <w:rPr>
      <w:rFonts w:ascii="宋体" w:hAnsi="宋体"/>
      <w:sz w:val="28"/>
      <w:szCs w:val="20"/>
    </w:rPr>
  </w:style>
  <w:style w:type="character" w:customStyle="1" w:styleId="45">
    <w:name w:val="正文文本 字符1"/>
    <w:semiHidden/>
    <w:qFormat/>
    <w:uiPriority w:val="0"/>
    <w:rPr>
      <w:rFonts w:ascii="Times New Roman" w:hAnsi="Times New Roman" w:eastAsia="宋体"/>
      <w:sz w:val="24"/>
    </w:rPr>
  </w:style>
  <w:style w:type="character" w:customStyle="1" w:styleId="46">
    <w:name w:val="表格 Char"/>
    <w:link w:val="47"/>
    <w:qFormat/>
    <w:locked/>
    <w:uiPriority w:val="0"/>
    <w:rPr>
      <w:rFonts w:ascii="宋体"/>
      <w:sz w:val="21"/>
    </w:rPr>
  </w:style>
  <w:style w:type="paragraph" w:customStyle="1" w:styleId="47">
    <w:name w:val="表格"/>
    <w:basedOn w:val="9"/>
    <w:next w:val="1"/>
    <w:link w:val="46"/>
    <w:qFormat/>
    <w:uiPriority w:val="0"/>
    <w:pPr>
      <w:adjustRightInd w:val="0"/>
      <w:snapToGrid w:val="0"/>
      <w:spacing w:beforeLines="10" w:afterLines="10" w:line="259" w:lineRule="auto"/>
      <w:jc w:val="center"/>
    </w:pPr>
    <w:rPr>
      <w:rFonts w:ascii="宋体"/>
      <w:kern w:val="0"/>
      <w:sz w:val="21"/>
      <w:szCs w:val="20"/>
    </w:rPr>
  </w:style>
  <w:style w:type="character" w:customStyle="1" w:styleId="48">
    <w:name w:val="页脚 字符"/>
    <w:basedOn w:val="28"/>
    <w:qFormat/>
    <w:uiPriority w:val="99"/>
  </w:style>
  <w:style w:type="character" w:customStyle="1" w:styleId="49">
    <w:name w:val="日期 字符"/>
    <w:semiHidden/>
    <w:qFormat/>
    <w:uiPriority w:val="0"/>
    <w:rPr>
      <w:rFonts w:ascii="Times New Roman" w:hAnsi="Times New Roman" w:eastAsia="宋体"/>
      <w:sz w:val="24"/>
    </w:rPr>
  </w:style>
  <w:style w:type="character" w:customStyle="1" w:styleId="50">
    <w:name w:val="环评正文 Char"/>
    <w:basedOn w:val="28"/>
    <w:link w:val="51"/>
    <w:qFormat/>
    <w:uiPriority w:val="0"/>
    <w:rPr>
      <w:rFonts w:eastAsia="宋体"/>
      <w:lang w:val="zh-CN"/>
    </w:rPr>
  </w:style>
  <w:style w:type="paragraph" w:customStyle="1" w:styleId="51">
    <w:name w:val="环评正文"/>
    <w:basedOn w:val="1"/>
    <w:next w:val="1"/>
    <w:link w:val="50"/>
    <w:qFormat/>
    <w:uiPriority w:val="0"/>
    <w:rPr>
      <w:lang w:val="zh-CN"/>
    </w:rPr>
  </w:style>
  <w:style w:type="character" w:customStyle="1" w:styleId="52">
    <w:name w:val="批注文字 字符1"/>
    <w:semiHidden/>
    <w:qFormat/>
    <w:uiPriority w:val="0"/>
    <w:rPr>
      <w:rFonts w:ascii="Times New Roman" w:hAnsi="Times New Roman" w:eastAsia="宋体"/>
      <w:sz w:val="24"/>
    </w:rPr>
  </w:style>
  <w:style w:type="paragraph" w:customStyle="1" w:styleId="53">
    <w:name w:val="样式2"/>
    <w:basedOn w:val="9"/>
    <w:qFormat/>
    <w:uiPriority w:val="0"/>
    <w:pPr>
      <w:spacing w:line="500" w:lineRule="exact"/>
      <w:ind w:firstLine="640" w:firstLineChars="200"/>
      <w:jc w:val="left"/>
    </w:pPr>
  </w:style>
  <w:style w:type="paragraph" w:customStyle="1" w:styleId="54">
    <w:name w:val="正文格式－表格－中"/>
    <w:next w:val="1"/>
    <w:qFormat/>
    <w:uiPriority w:val="0"/>
    <w:pPr>
      <w:jc w:val="center"/>
    </w:pPr>
    <w:rPr>
      <w:rFonts w:ascii="Times New Roman" w:hAnsi="Times New Roman" w:eastAsia="宋体" w:cs="Times New Roman"/>
      <w:lang w:val="en-US" w:eastAsia="zh-CN" w:bidi="ar-SA"/>
    </w:rPr>
  </w:style>
  <w:style w:type="paragraph" w:customStyle="1" w:styleId="55">
    <w:name w:val="【表头】"/>
    <w:basedOn w:val="1"/>
    <w:next w:val="1"/>
    <w:link w:val="109"/>
    <w:qFormat/>
    <w:uiPriority w:val="0"/>
    <w:pPr>
      <w:jc w:val="center"/>
    </w:pPr>
    <w:rPr>
      <w:rFonts w:eastAsia="黑体" w:cs="宋体"/>
      <w:kern w:val="0"/>
      <w:sz w:val="24"/>
    </w:rPr>
  </w:style>
  <w:style w:type="paragraph" w:customStyle="1" w:styleId="56">
    <w:name w:val="Default"/>
    <w:qFormat/>
    <w:uiPriority w:val="0"/>
    <w:pPr>
      <w:widowControl w:val="0"/>
      <w:autoSpaceDE w:val="0"/>
      <w:autoSpaceDN w:val="0"/>
      <w:adjustRightInd w:val="0"/>
    </w:pPr>
    <w:rPr>
      <w:rFonts w:ascii="黑体" w:hAnsi="Times New Roman" w:eastAsia="黑体" w:cs="Times New Roman"/>
      <w:color w:val="000000"/>
      <w:sz w:val="24"/>
      <w:szCs w:val="24"/>
      <w:lang w:val="en-US" w:eastAsia="zh-CN" w:bidi="ar-SA"/>
    </w:rPr>
  </w:style>
  <w:style w:type="paragraph" w:customStyle="1" w:styleId="57">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58">
    <w:name w:val="正文（缩进）"/>
    <w:basedOn w:val="59"/>
    <w:next w:val="1"/>
    <w:qFormat/>
    <w:uiPriority w:val="99"/>
    <w:pPr>
      <w:spacing w:line="360" w:lineRule="auto"/>
      <w:ind w:firstLine="480" w:firstLineChars="200"/>
    </w:pPr>
    <w:rPr>
      <w:sz w:val="24"/>
    </w:rPr>
  </w:style>
  <w:style w:type="paragraph" w:customStyle="1" w:styleId="59">
    <w:name w:val="正文(首行缩进)"/>
    <w:basedOn w:val="1"/>
    <w:qFormat/>
    <w:uiPriority w:val="0"/>
    <w:pPr>
      <w:spacing w:line="460" w:lineRule="exact"/>
      <w:ind w:firstLine="560" w:firstLineChars="200"/>
    </w:pPr>
    <w:rPr>
      <w:rFonts w:ascii="宋体" w:hAnsi="宋体"/>
      <w:snapToGrid w:val="0"/>
      <w:color w:val="000000"/>
      <w:kern w:val="0"/>
      <w:sz w:val="24"/>
    </w:rPr>
  </w:style>
  <w:style w:type="paragraph" w:customStyle="1" w:styleId="60">
    <w:name w:val="666【正文】"/>
    <w:basedOn w:val="1"/>
    <w:qFormat/>
    <w:uiPriority w:val="0"/>
    <w:rPr>
      <w:rFonts w:cs="宋体"/>
      <w:szCs w:val="20"/>
    </w:rPr>
  </w:style>
  <w:style w:type="paragraph" w:customStyle="1" w:styleId="61">
    <w:name w:val="表 正文"/>
    <w:basedOn w:val="1"/>
    <w:link w:val="85"/>
    <w:qFormat/>
    <w:uiPriority w:val="0"/>
    <w:pPr>
      <w:snapToGrid w:val="0"/>
      <w:spacing w:line="360" w:lineRule="auto"/>
      <w:ind w:firstLine="200" w:firstLineChars="200"/>
    </w:pPr>
    <w:rPr>
      <w:kern w:val="44"/>
    </w:rPr>
  </w:style>
  <w:style w:type="paragraph" w:customStyle="1" w:styleId="62">
    <w:name w:val="标题2.3"/>
    <w:basedOn w:val="1"/>
    <w:qFormat/>
    <w:uiPriority w:val="0"/>
    <w:pPr>
      <w:spacing w:line="360" w:lineRule="auto"/>
      <w:ind w:firstLine="200" w:firstLineChars="200"/>
    </w:pPr>
    <w:rPr>
      <w:b/>
      <w:szCs w:val="28"/>
    </w:rPr>
  </w:style>
  <w:style w:type="paragraph" w:customStyle="1" w:styleId="63">
    <w:name w:val="表图头"/>
    <w:basedOn w:val="1"/>
    <w:qFormat/>
    <w:uiPriority w:val="0"/>
    <w:pPr>
      <w:adjustRightInd w:val="0"/>
      <w:snapToGrid w:val="0"/>
      <w:spacing w:line="360" w:lineRule="auto"/>
      <w:jc w:val="center"/>
    </w:pPr>
    <w:rPr>
      <w:rFonts w:hAnsi="黑体" w:eastAsia="黑体"/>
      <w:color w:val="000000"/>
      <w:sz w:val="24"/>
    </w:rPr>
  </w:style>
  <w:style w:type="paragraph" w:styleId="64">
    <w:name w:val="Quote"/>
    <w:basedOn w:val="1"/>
    <w:next w:val="1"/>
    <w:link w:val="102"/>
    <w:qFormat/>
    <w:uiPriority w:val="29"/>
    <w:pPr>
      <w:jc w:val="center"/>
    </w:pPr>
    <w:rPr>
      <w:iCs/>
      <w:color w:val="000000"/>
    </w:rPr>
  </w:style>
  <w:style w:type="paragraph" w:customStyle="1" w:styleId="65">
    <w:name w:val="正文文本格式"/>
    <w:basedOn w:val="1"/>
    <w:qFormat/>
    <w:uiPriority w:val="0"/>
    <w:pPr>
      <w:spacing w:line="480" w:lineRule="exact"/>
      <w:ind w:firstLine="567"/>
    </w:pPr>
    <w:rPr>
      <w:rFonts w:ascii="Calibri" w:hAnsi="Calibri"/>
      <w:snapToGrid w:val="0"/>
      <w:kern w:val="0"/>
      <w:sz w:val="28"/>
      <w:szCs w:val="28"/>
    </w:rPr>
  </w:style>
  <w:style w:type="paragraph" w:customStyle="1" w:styleId="66">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7">
    <w:name w:val="二级标题"/>
    <w:basedOn w:val="1"/>
    <w:qFormat/>
    <w:uiPriority w:val="0"/>
    <w:pPr>
      <w:spacing w:line="520" w:lineRule="exact"/>
    </w:pPr>
    <w:rPr>
      <w:rFonts w:ascii="黑体" w:eastAsia="黑体"/>
      <w:sz w:val="28"/>
      <w:szCs w:val="20"/>
    </w:rPr>
  </w:style>
  <w:style w:type="paragraph" w:customStyle="1" w:styleId="68">
    <w:name w:val="cucd-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paragraph" w:customStyle="1" w:styleId="69">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0">
    <w:name w:val="样式9"/>
    <w:basedOn w:val="19"/>
    <w:qFormat/>
    <w:uiPriority w:val="0"/>
    <w:pPr>
      <w:pBdr>
        <w:bottom w:val="thinThickSmallGap" w:color="auto" w:sz="24" w:space="1"/>
      </w:pBdr>
      <w:ind w:right="41"/>
    </w:pPr>
    <w:rPr>
      <w:rFonts w:ascii="宋体" w:hAnsi="宋体"/>
      <w:b/>
      <w:bCs/>
      <w:i/>
      <w:szCs w:val="21"/>
    </w:rPr>
  </w:style>
  <w:style w:type="paragraph" w:customStyle="1" w:styleId="71">
    <w:name w:val="表一级标题"/>
    <w:basedOn w:val="1"/>
    <w:qFormat/>
    <w:uiPriority w:val="0"/>
    <w:pPr>
      <w:snapToGrid w:val="0"/>
      <w:spacing w:line="360" w:lineRule="auto"/>
      <w:jc w:val="left"/>
    </w:pPr>
    <w:rPr>
      <w:rFonts w:eastAsia="黑体"/>
      <w:kern w:val="44"/>
    </w:rPr>
  </w:style>
  <w:style w:type="paragraph" w:customStyle="1" w:styleId="72">
    <w:name w:val="一级标题"/>
    <w:basedOn w:val="1"/>
    <w:next w:val="1"/>
    <w:qFormat/>
    <w:uiPriority w:val="0"/>
    <w:pPr>
      <w:snapToGrid w:val="0"/>
      <w:spacing w:line="360" w:lineRule="auto"/>
      <w:jc w:val="left"/>
    </w:pPr>
    <w:rPr>
      <w:rFonts w:eastAsia="黑体"/>
      <w:kern w:val="44"/>
    </w:rPr>
  </w:style>
  <w:style w:type="paragraph" w:customStyle="1" w:styleId="73">
    <w:name w:val="报告表-表格内容"/>
    <w:qFormat/>
    <w:uiPriority w:val="0"/>
    <w:pPr>
      <w:adjustRightInd w:val="0"/>
      <w:snapToGrid w:val="0"/>
      <w:jc w:val="center"/>
    </w:pPr>
    <w:rPr>
      <w:rFonts w:ascii="Times New Roman" w:hAnsi="Times New Roman" w:eastAsia="Times New Roman" w:cs="Times New Roman"/>
      <w:snapToGrid w:val="0"/>
      <w:w w:val="90"/>
      <w:sz w:val="21"/>
      <w:szCs w:val="21"/>
      <w:lang w:val="en-US" w:eastAsia="zh-CN" w:bidi="ar-SA"/>
    </w:rPr>
  </w:style>
  <w:style w:type="paragraph" w:customStyle="1" w:styleId="74">
    <w:name w:val="正文文本 (2)1"/>
    <w:basedOn w:val="1"/>
    <w:link w:val="93"/>
    <w:qFormat/>
    <w:uiPriority w:val="0"/>
    <w:pPr>
      <w:shd w:val="clear" w:color="auto" w:fill="FFFFFF"/>
      <w:spacing w:after="540" w:line="0" w:lineRule="atLeast"/>
      <w:ind w:hanging="980"/>
    </w:pPr>
    <w:rPr>
      <w:rFonts w:ascii="MingLiU" w:hAnsi="MingLiU" w:eastAsia="MingLiU"/>
      <w:spacing w:val="20"/>
      <w:sz w:val="22"/>
      <w:szCs w:val="22"/>
    </w:rPr>
  </w:style>
  <w:style w:type="character" w:customStyle="1" w:styleId="75">
    <w:name w:val="正文文本 (2) + 9 pt"/>
    <w:qFormat/>
    <w:uiPriority w:val="0"/>
    <w:rPr>
      <w:rFonts w:ascii="MingLiU" w:hAnsi="MingLiU" w:eastAsia="MingLiU" w:cs="MingLiU"/>
      <w:color w:val="000000"/>
      <w:spacing w:val="10"/>
      <w:w w:val="100"/>
      <w:position w:val="0"/>
      <w:sz w:val="18"/>
      <w:szCs w:val="18"/>
      <w:u w:val="none"/>
      <w:lang w:val="zh-TW" w:eastAsia="zh-TW" w:bidi="zh-TW"/>
    </w:rPr>
  </w:style>
  <w:style w:type="paragraph" w:styleId="76">
    <w:name w:val="No Spacing"/>
    <w:basedOn w:val="1"/>
    <w:next w:val="1"/>
    <w:qFormat/>
    <w:uiPriority w:val="1"/>
    <w:pPr>
      <w:jc w:val="center"/>
    </w:pPr>
    <w:rPr>
      <w:rFonts w:eastAsia="黑体"/>
    </w:rPr>
  </w:style>
  <w:style w:type="paragraph" w:customStyle="1" w:styleId="77">
    <w:name w:val="Table Paragraph"/>
    <w:basedOn w:val="1"/>
    <w:qFormat/>
    <w:uiPriority w:val="1"/>
    <w:pPr>
      <w:widowControl/>
      <w:jc w:val="left"/>
    </w:pPr>
    <w:rPr>
      <w:rFonts w:ascii="Calibri" w:hAnsi="Calibri"/>
      <w:kern w:val="0"/>
      <w:sz w:val="22"/>
      <w:szCs w:val="22"/>
    </w:rPr>
  </w:style>
  <w:style w:type="paragraph" w:customStyle="1" w:styleId="78">
    <w:name w:val="正文1"/>
    <w:basedOn w:val="1"/>
    <w:qFormat/>
    <w:uiPriority w:val="0"/>
    <w:pPr>
      <w:spacing w:line="480" w:lineRule="exact"/>
      <w:ind w:firstLine="200" w:firstLineChars="200"/>
    </w:pPr>
    <w:rPr>
      <w:sz w:val="24"/>
    </w:rPr>
  </w:style>
  <w:style w:type="character" w:customStyle="1" w:styleId="79">
    <w:name w:val="【正文】 Char"/>
    <w:link w:val="43"/>
    <w:qFormat/>
    <w:uiPriority w:val="0"/>
    <w:rPr>
      <w:kern w:val="2"/>
      <w:sz w:val="24"/>
    </w:rPr>
  </w:style>
  <w:style w:type="character" w:customStyle="1" w:styleId="80">
    <w:name w:val="标题 2 字符"/>
    <w:basedOn w:val="28"/>
    <w:link w:val="5"/>
    <w:semiHidden/>
    <w:qFormat/>
    <w:uiPriority w:val="0"/>
    <w:rPr>
      <w:rFonts w:ascii="Cambria" w:hAnsi="Cambria" w:eastAsia="宋体" w:cs="Times New Roman"/>
      <w:b/>
      <w:bCs/>
      <w:kern w:val="2"/>
      <w:sz w:val="32"/>
      <w:szCs w:val="32"/>
    </w:rPr>
  </w:style>
  <w:style w:type="paragraph" w:customStyle="1" w:styleId="81">
    <w:name w:val="表 题注"/>
    <w:basedOn w:val="1"/>
    <w:link w:val="82"/>
    <w:qFormat/>
    <w:uiPriority w:val="0"/>
    <w:pPr>
      <w:spacing w:line="320" w:lineRule="exact"/>
      <w:jc w:val="center"/>
    </w:pPr>
    <w:rPr>
      <w:b/>
      <w:kern w:val="44"/>
      <w:sz w:val="24"/>
      <w:szCs w:val="21"/>
    </w:rPr>
  </w:style>
  <w:style w:type="character" w:customStyle="1" w:styleId="82">
    <w:name w:val="表 题注 Char"/>
    <w:link w:val="81"/>
    <w:qFormat/>
    <w:uiPriority w:val="0"/>
    <w:rPr>
      <w:b/>
      <w:kern w:val="44"/>
      <w:sz w:val="24"/>
      <w:szCs w:val="21"/>
    </w:rPr>
  </w:style>
  <w:style w:type="paragraph" w:customStyle="1" w:styleId="83">
    <w:name w:val="表格正文"/>
    <w:basedOn w:val="1"/>
    <w:link w:val="84"/>
    <w:qFormat/>
    <w:uiPriority w:val="0"/>
    <w:pPr>
      <w:adjustRightInd w:val="0"/>
      <w:snapToGrid w:val="0"/>
      <w:spacing w:line="320" w:lineRule="atLeast"/>
      <w:jc w:val="center"/>
    </w:pPr>
    <w:rPr>
      <w:szCs w:val="21"/>
    </w:rPr>
  </w:style>
  <w:style w:type="character" w:customStyle="1" w:styleId="84">
    <w:name w:val="表格正文 Char"/>
    <w:link w:val="83"/>
    <w:qFormat/>
    <w:uiPriority w:val="0"/>
    <w:rPr>
      <w:kern w:val="2"/>
      <w:sz w:val="21"/>
      <w:szCs w:val="21"/>
    </w:rPr>
  </w:style>
  <w:style w:type="character" w:customStyle="1" w:styleId="85">
    <w:name w:val="表 正文 Char"/>
    <w:link w:val="61"/>
    <w:qFormat/>
    <w:uiPriority w:val="0"/>
    <w:rPr>
      <w:kern w:val="44"/>
      <w:sz w:val="21"/>
      <w:szCs w:val="24"/>
    </w:rPr>
  </w:style>
  <w:style w:type="paragraph" w:styleId="86">
    <w:name w:val="List Paragraph"/>
    <w:basedOn w:val="1"/>
    <w:qFormat/>
    <w:uiPriority w:val="99"/>
    <w:pPr>
      <w:spacing w:line="520" w:lineRule="exact"/>
      <w:ind w:firstLine="420" w:firstLineChars="200"/>
    </w:pPr>
    <w:rPr>
      <w:sz w:val="24"/>
    </w:rPr>
  </w:style>
  <w:style w:type="paragraph" w:customStyle="1" w:styleId="87">
    <w:name w:val="表题注"/>
    <w:basedOn w:val="10"/>
    <w:link w:val="88"/>
    <w:qFormat/>
    <w:uiPriority w:val="0"/>
    <w:pPr>
      <w:framePr w:hSpace="180" w:wrap="around" w:vAnchor="text" w:hAnchor="text" w:xAlign="center" w:y="1"/>
      <w:adjustRightInd w:val="0"/>
      <w:snapToGrid w:val="0"/>
      <w:spacing w:line="240" w:lineRule="auto"/>
      <w:ind w:firstLine="0" w:firstLineChars="0"/>
      <w:jc w:val="center"/>
    </w:pPr>
    <w:rPr>
      <w:rFonts w:ascii="Times New Roman" w:hAnsi="Times New Roman"/>
      <w:sz w:val="21"/>
      <w:szCs w:val="21"/>
      <w:lang w:val="zh-CN"/>
    </w:rPr>
  </w:style>
  <w:style w:type="character" w:customStyle="1" w:styleId="88">
    <w:name w:val="表题注 字符"/>
    <w:link w:val="87"/>
    <w:qFormat/>
    <w:uiPriority w:val="0"/>
    <w:rPr>
      <w:rFonts w:eastAsia="黑体"/>
      <w:kern w:val="2"/>
      <w:sz w:val="21"/>
      <w:szCs w:val="21"/>
      <w:lang w:val="zh-CN"/>
    </w:rPr>
  </w:style>
  <w:style w:type="character" w:customStyle="1" w:styleId="89">
    <w:name w:val="批注文字 Char1"/>
    <w:qFormat/>
    <w:uiPriority w:val="0"/>
    <w:rPr>
      <w:kern w:val="2"/>
      <w:sz w:val="24"/>
      <w:szCs w:val="24"/>
    </w:rPr>
  </w:style>
  <w:style w:type="character" w:customStyle="1" w:styleId="90">
    <w:name w:val="标题 字符"/>
    <w:basedOn w:val="28"/>
    <w:link w:val="23"/>
    <w:qFormat/>
    <w:uiPriority w:val="0"/>
    <w:rPr>
      <w:b/>
      <w:bCs/>
      <w:sz w:val="24"/>
      <w:szCs w:val="32"/>
    </w:rPr>
  </w:style>
  <w:style w:type="paragraph" w:customStyle="1" w:styleId="91">
    <w:name w:val="表格文本"/>
    <w:basedOn w:val="25"/>
    <w:link w:val="92"/>
    <w:qFormat/>
    <w:uiPriority w:val="0"/>
    <w:pPr>
      <w:snapToGrid/>
      <w:spacing w:before="0" w:after="0" w:line="320" w:lineRule="exact"/>
      <w:ind w:right="0" w:firstLine="0" w:firstLineChars="0"/>
    </w:pPr>
    <w:rPr>
      <w:spacing w:val="6"/>
      <w:kern w:val="2"/>
      <w:sz w:val="21"/>
    </w:rPr>
  </w:style>
  <w:style w:type="character" w:customStyle="1" w:styleId="92">
    <w:name w:val="表格文本 字符"/>
    <w:link w:val="91"/>
    <w:qFormat/>
    <w:uiPriority w:val="0"/>
    <w:rPr>
      <w:spacing w:val="6"/>
      <w:kern w:val="2"/>
      <w:sz w:val="21"/>
    </w:rPr>
  </w:style>
  <w:style w:type="character" w:customStyle="1" w:styleId="93">
    <w:name w:val="正文文本 (2)_"/>
    <w:link w:val="74"/>
    <w:qFormat/>
    <w:uiPriority w:val="0"/>
    <w:rPr>
      <w:rFonts w:ascii="MingLiU" w:hAnsi="MingLiU" w:eastAsia="MingLiU" w:cs="MingLiU"/>
      <w:spacing w:val="20"/>
      <w:kern w:val="2"/>
      <w:sz w:val="22"/>
      <w:szCs w:val="22"/>
      <w:shd w:val="clear" w:color="auto" w:fill="FFFFFF"/>
    </w:rPr>
  </w:style>
  <w:style w:type="character" w:customStyle="1" w:styleId="94">
    <w:name w:val="正文文本 (2) + Tahoma"/>
    <w:qFormat/>
    <w:uiPriority w:val="0"/>
    <w:rPr>
      <w:rFonts w:ascii="Tahoma" w:hAnsi="Tahoma" w:eastAsia="Tahoma" w:cs="Tahoma"/>
      <w:color w:val="000000"/>
      <w:spacing w:val="0"/>
      <w:w w:val="100"/>
      <w:position w:val="0"/>
      <w:sz w:val="16"/>
      <w:szCs w:val="16"/>
      <w:u w:val="none"/>
      <w:shd w:val="clear" w:color="auto" w:fill="FFFFFF"/>
      <w:lang w:val="en-US" w:eastAsia="en-US" w:bidi="en-US"/>
    </w:rPr>
  </w:style>
  <w:style w:type="character" w:customStyle="1" w:styleId="95">
    <w:name w:val="正文文本 (2) + Constantia"/>
    <w:qFormat/>
    <w:uiPriority w:val="0"/>
    <w:rPr>
      <w:rFonts w:ascii="Constantia" w:hAnsi="Constantia" w:eastAsia="Constantia" w:cs="Constantia"/>
      <w:b/>
      <w:bCs/>
      <w:color w:val="000000"/>
      <w:spacing w:val="0"/>
      <w:w w:val="100"/>
      <w:position w:val="0"/>
      <w:sz w:val="22"/>
      <w:szCs w:val="22"/>
      <w:u w:val="none"/>
      <w:shd w:val="clear" w:color="auto" w:fill="FFFFFF"/>
      <w:lang w:val="en-US" w:eastAsia="en-US" w:bidi="en-US"/>
    </w:rPr>
  </w:style>
  <w:style w:type="character" w:customStyle="1" w:styleId="96">
    <w:name w:val="正文文本 (2) + 10 pt"/>
    <w:qFormat/>
    <w:uiPriority w:val="0"/>
    <w:rPr>
      <w:rFonts w:ascii="MingLiU" w:hAnsi="MingLiU" w:eastAsia="MingLiU" w:cs="MingLiU"/>
      <w:b/>
      <w:bCs/>
      <w:color w:val="000000"/>
      <w:spacing w:val="0"/>
      <w:w w:val="100"/>
      <w:position w:val="0"/>
      <w:sz w:val="20"/>
      <w:szCs w:val="20"/>
      <w:u w:val="none"/>
      <w:shd w:val="clear" w:color="auto" w:fill="FFFFFF"/>
      <w:lang w:val="zh-TW" w:eastAsia="zh-TW" w:bidi="zh-TW"/>
    </w:rPr>
  </w:style>
  <w:style w:type="character" w:customStyle="1" w:styleId="97">
    <w:name w:val="Subtle Emphasis"/>
    <w:basedOn w:val="28"/>
    <w:qFormat/>
    <w:uiPriority w:val="19"/>
    <w:rPr>
      <w:i/>
      <w:iCs/>
      <w:color w:val="808080"/>
    </w:rPr>
  </w:style>
  <w:style w:type="character" w:customStyle="1" w:styleId="98">
    <w:name w:val="表头 Char"/>
    <w:link w:val="42"/>
    <w:qFormat/>
    <w:uiPriority w:val="0"/>
    <w:rPr>
      <w:rFonts w:ascii="宋体" w:hAnsi="宋体" w:eastAsia="黑体" w:cs="宋体"/>
      <w:kern w:val="2"/>
      <w:sz w:val="24"/>
      <w:szCs w:val="18"/>
      <w:lang w:eastAsia="en-US"/>
    </w:rPr>
  </w:style>
  <w:style w:type="character" w:customStyle="1" w:styleId="99">
    <w:name w:val="批注文字 字符"/>
    <w:qFormat/>
    <w:locked/>
    <w:uiPriority w:val="99"/>
    <w:rPr>
      <w:rFonts w:ascii="Times New Roman" w:hAnsi="Times New Roman" w:eastAsia="宋体"/>
      <w:sz w:val="24"/>
    </w:rPr>
  </w:style>
  <w:style w:type="character" w:styleId="100">
    <w:name w:val="Placeholder Text"/>
    <w:basedOn w:val="28"/>
    <w:unhideWhenUsed/>
    <w:qFormat/>
    <w:uiPriority w:val="99"/>
    <w:rPr>
      <w:color w:val="808080"/>
    </w:rPr>
  </w:style>
  <w:style w:type="character" w:customStyle="1" w:styleId="101">
    <w:name w:val="表 正文 Char Char"/>
    <w:qFormat/>
    <w:uiPriority w:val="0"/>
    <w:rPr>
      <w:kern w:val="2"/>
      <w:sz w:val="24"/>
      <w:szCs w:val="24"/>
    </w:rPr>
  </w:style>
  <w:style w:type="character" w:customStyle="1" w:styleId="102">
    <w:name w:val="引用 字符"/>
    <w:basedOn w:val="28"/>
    <w:link w:val="64"/>
    <w:qFormat/>
    <w:uiPriority w:val="29"/>
    <w:rPr>
      <w:iCs/>
      <w:color w:val="000000"/>
      <w:kern w:val="2"/>
      <w:sz w:val="21"/>
      <w:szCs w:val="24"/>
    </w:rPr>
  </w:style>
  <w:style w:type="character" w:customStyle="1" w:styleId="103">
    <w:name w:val="【正文】 Char Char"/>
    <w:qFormat/>
    <w:uiPriority w:val="0"/>
    <w:rPr>
      <w:rFonts w:ascii="Times New Roman" w:hAnsi="Times New Roman" w:eastAsia="宋体" w:cs="宋体"/>
      <w:kern w:val="2"/>
      <w:sz w:val="24"/>
      <w:szCs w:val="22"/>
    </w:rPr>
  </w:style>
  <w:style w:type="character" w:customStyle="1" w:styleId="104">
    <w:name w:val="文档结构图 字符"/>
    <w:basedOn w:val="28"/>
    <w:link w:val="11"/>
    <w:semiHidden/>
    <w:qFormat/>
    <w:uiPriority w:val="0"/>
    <w:rPr>
      <w:rFonts w:ascii="宋体"/>
      <w:kern w:val="2"/>
      <w:sz w:val="18"/>
      <w:szCs w:val="18"/>
    </w:rPr>
  </w:style>
  <w:style w:type="paragraph" w:customStyle="1" w:styleId="105">
    <w:name w:val="样式4"/>
    <w:basedOn w:val="13"/>
    <w:qFormat/>
    <w:uiPriority w:val="0"/>
    <w:pPr>
      <w:widowControl w:val="0"/>
      <w:spacing w:before="0" w:after="0" w:line="360" w:lineRule="auto"/>
      <w:ind w:right="0" w:firstLine="567"/>
    </w:pPr>
    <w:rPr>
      <w:rFonts w:ascii="Calibri" w:hAnsi="Calibri" w:eastAsia="仿宋_GB2312" w:cs="宋体"/>
      <w:snapToGrid w:val="0"/>
      <w:kern w:val="2"/>
      <w:sz w:val="28"/>
      <w:szCs w:val="24"/>
    </w:rPr>
  </w:style>
  <w:style w:type="paragraph" w:customStyle="1" w:styleId="106">
    <w:name w:val="表格表格标题标题"/>
    <w:qFormat/>
    <w:uiPriority w:val="0"/>
    <w:pPr>
      <w:adjustRightInd w:val="0"/>
      <w:snapToGrid w:val="0"/>
      <w:jc w:val="center"/>
    </w:pPr>
    <w:rPr>
      <w:rFonts w:ascii="Times New Roman" w:hAnsi="Times New Roman" w:eastAsia="黑体" w:cs="Times New Roman"/>
      <w:bCs/>
      <w:kern w:val="2"/>
      <w:sz w:val="24"/>
      <w:szCs w:val="21"/>
      <w:lang w:val="en-US" w:eastAsia="zh-CN" w:bidi="ar-SA"/>
    </w:rPr>
  </w:style>
  <w:style w:type="paragraph" w:customStyle="1" w:styleId="107">
    <w:name w:val="【表中文字】"/>
    <w:basedOn w:val="1"/>
    <w:qFormat/>
    <w:uiPriority w:val="0"/>
    <w:pPr>
      <w:adjustRightInd w:val="0"/>
      <w:snapToGrid w:val="0"/>
      <w:jc w:val="center"/>
    </w:pPr>
    <w:rPr>
      <w:rFonts w:ascii="Calibri" w:hAnsi="Calibri"/>
      <w:w w:val="90"/>
    </w:rPr>
  </w:style>
  <w:style w:type="character" w:customStyle="1" w:styleId="108">
    <w:name w:val="font51"/>
    <w:qFormat/>
    <w:uiPriority w:val="0"/>
    <w:rPr>
      <w:rFonts w:hint="default" w:ascii="Times New Roman" w:hAnsi="Times New Roman" w:cs="Times New Roman"/>
      <w:b/>
      <w:color w:val="000000"/>
      <w:sz w:val="21"/>
      <w:szCs w:val="21"/>
      <w:u w:val="none"/>
    </w:rPr>
  </w:style>
  <w:style w:type="character" w:customStyle="1" w:styleId="109">
    <w:name w:val="【表头】 Char Char"/>
    <w:link w:val="55"/>
    <w:qFormat/>
    <w:uiPriority w:val="0"/>
    <w:rPr>
      <w:rFonts w:eastAsia="黑体" w:cs="宋体"/>
      <w:sz w:val="24"/>
      <w:szCs w:val="24"/>
    </w:rPr>
  </w:style>
  <w:style w:type="paragraph" w:customStyle="1" w:styleId="110">
    <w:name w:val="表格1"/>
    <w:basedOn w:val="1"/>
    <w:next w:val="1"/>
    <w:qFormat/>
    <w:uiPriority w:val="0"/>
    <w:pPr>
      <w:spacing w:line="360" w:lineRule="auto"/>
      <w:ind w:firstLine="562" w:firstLineChars="200"/>
      <w:jc w:val="center"/>
    </w:pPr>
    <w:rPr>
      <w:rFonts w:eastAsia="仿宋_GB2312"/>
      <w:bCs/>
      <w:szCs w:val="20"/>
    </w:rPr>
  </w:style>
  <w:style w:type="paragraph" w:customStyle="1" w:styleId="111">
    <w:name w:val="Normal"/>
    <w:qFormat/>
    <w:uiPriority w:val="0"/>
    <w:pPr>
      <w:jc w:val="both"/>
    </w:pPr>
    <w:rPr>
      <w:rFonts w:ascii="Times New Roman" w:hAnsi="Times New Roman" w:eastAsia="宋体" w:cs="Times New Roman"/>
      <w:kern w:val="2"/>
      <w:sz w:val="21"/>
      <w:szCs w:val="21"/>
      <w:lang w:val="en-US" w:eastAsia="zh-CN" w:bidi="ar-SA"/>
    </w:rPr>
  </w:style>
  <w:style w:type="paragraph" w:customStyle="1" w:styleId="112">
    <w:name w:val="正文首行缩进1"/>
    <w:basedOn w:val="13"/>
    <w:next w:val="1"/>
    <w:qFormat/>
    <w:uiPriority w:val="0"/>
    <w:pPr>
      <w:spacing w:line="520" w:lineRule="exact"/>
      <w:ind w:firstLine="420" w:firstLineChars="100"/>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1.bin"/><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wmf"/><Relationship Id="rId14" Type="http://schemas.openxmlformats.org/officeDocument/2006/relationships/oleObject" Target="embeddings/oleObject4.bin"/><Relationship Id="rId13" Type="http://schemas.openxmlformats.org/officeDocument/2006/relationships/image" Target="media/image5.wmf"/><Relationship Id="rId12" Type="http://schemas.openxmlformats.org/officeDocument/2006/relationships/oleObject" Target="embeddings/oleObject3.bin"/><Relationship Id="rId11" Type="http://schemas.openxmlformats.org/officeDocument/2006/relationships/image" Target="media/image4.w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33A89B-5901-4A01-A4D3-8AA2A6977F71}">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38</Pages>
  <Words>22736</Words>
  <Characters>25307</Characters>
  <Lines>209</Lines>
  <Paragraphs>59</Paragraphs>
  <TotalTime>3</TotalTime>
  <ScaleCrop>false</ScaleCrop>
  <LinksUpToDate>false</LinksUpToDate>
  <CharactersWithSpaces>25535</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2021-06-07T06:29:00Z</dcterms:created>
  <dc:creator>lhj</dc:creator>
  <cp:lastModifiedBy>军popo</cp:lastModifiedBy>
  <cp:lastPrinted>2022-02-18T09:59:00Z</cp:lastPrinted>
  <dcterms:modified xsi:type="dcterms:W3CDTF">2022-04-06T02:37:13Z</dcterms:modified>
  <dc:title>附件2</dc:title>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E04152D7ED0843428675F3B9536432C8</vt:lpwstr>
  </property>
</Properties>
</file>