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440" w:firstLineChars="100"/>
        <w:jc w:val="left"/>
        <w:rPr>
          <w:rFonts w:ascii="黑体" w:hAnsi="黑体" w:eastAsia="黑体" w:cs="宋体"/>
          <w:kern w:val="0"/>
          <w:sz w:val="44"/>
          <w:szCs w:val="44"/>
        </w:rPr>
      </w:pPr>
      <w:r>
        <w:rPr>
          <w:rFonts w:hint="eastAsia" w:ascii="黑体" w:hAnsi="黑体" w:eastAsia="黑体" w:cs="宋体"/>
          <w:kern w:val="0"/>
          <w:sz w:val="44"/>
          <w:szCs w:val="44"/>
        </w:rPr>
        <w:t>中宁县商务和经济技术合作局</w:t>
      </w:r>
      <w:r>
        <w:rPr>
          <w:rFonts w:ascii="黑体" w:hAnsi="黑体" w:eastAsia="黑体" w:cs="宋体"/>
          <w:kern w:val="0"/>
          <w:sz w:val="44"/>
          <w:szCs w:val="44"/>
        </w:rPr>
        <w:t>2018</w:t>
      </w:r>
      <w:r>
        <w:rPr>
          <w:rFonts w:hint="eastAsia" w:ascii="黑体" w:hAnsi="黑体" w:eastAsia="黑体" w:cs="宋体"/>
          <w:kern w:val="0"/>
          <w:sz w:val="44"/>
          <w:szCs w:val="44"/>
        </w:rPr>
        <w:t>年部门预算公开</w:t>
      </w:r>
      <w:r>
        <w:rPr>
          <w:rFonts w:ascii="黑体" w:hAnsi="黑体" w:eastAsia="黑体" w:cs="宋体"/>
          <w:kern w:val="0"/>
          <w:sz w:val="44"/>
          <w:szCs w:val="44"/>
        </w:rPr>
        <w:t xml:space="preserve"> </w:t>
      </w:r>
    </w:p>
    <w:p>
      <w:pPr>
        <w:jc w:val="center"/>
        <w:rPr>
          <w:rFonts w:ascii="仿宋" w:hAnsi="仿宋" w:eastAsia="仿宋" w:cs="仿宋_GB2312"/>
          <w:b/>
          <w:sz w:val="36"/>
          <w:szCs w:val="36"/>
        </w:rPr>
      </w:pPr>
      <w:r>
        <w:rPr>
          <w:rFonts w:hint="eastAsia" w:ascii="仿宋" w:hAnsi="仿宋" w:eastAsia="仿宋" w:cs="仿宋_GB2312"/>
          <w:b/>
          <w:sz w:val="36"/>
          <w:szCs w:val="36"/>
        </w:rPr>
        <w:t>目</w:t>
      </w:r>
      <w:r>
        <w:rPr>
          <w:rFonts w:ascii="仿宋" w:hAnsi="仿宋" w:eastAsia="仿宋" w:cs="仿宋_GB2312"/>
          <w:b/>
          <w:sz w:val="36"/>
          <w:szCs w:val="36"/>
        </w:rPr>
        <w:t xml:space="preserve">     </w:t>
      </w:r>
      <w:r>
        <w:rPr>
          <w:rFonts w:hint="eastAsia" w:ascii="仿宋" w:hAnsi="仿宋" w:eastAsia="仿宋" w:cs="仿宋_GB2312"/>
          <w:b/>
          <w:sz w:val="36"/>
          <w:szCs w:val="36"/>
        </w:rPr>
        <w:t>录</w:t>
      </w:r>
    </w:p>
    <w:p>
      <w:pPr>
        <w:spacing w:line="58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单位概况</w:t>
      </w:r>
    </w:p>
    <w:p>
      <w:pPr>
        <w:spacing w:line="58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一、部门职责和机构设置</w:t>
      </w:r>
    </w:p>
    <w:p>
      <w:pPr>
        <w:spacing w:line="58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第二部分</w:t>
      </w:r>
      <w:r>
        <w:rPr>
          <w:rFonts w:ascii="仿宋_GB2312" w:hAnsi="宋体" w:eastAsia="仿宋_GB2312"/>
          <w:b/>
          <w:kern w:val="0"/>
          <w:sz w:val="32"/>
          <w:szCs w:val="32"/>
        </w:rPr>
        <w:t xml:space="preserve">  2018</w:t>
      </w:r>
      <w:r>
        <w:rPr>
          <w:rFonts w:hint="eastAsia" w:ascii="仿宋_GB2312" w:hAnsi="宋体" w:eastAsia="仿宋_GB2312"/>
          <w:b/>
          <w:kern w:val="0"/>
          <w:sz w:val="32"/>
          <w:szCs w:val="32"/>
        </w:rPr>
        <w:t>年度部门预算数据说明</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一、本级预算及所属单位在内的汇总预算</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二、预算收支增减变化情况说明</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三、政府采购安排情况说明</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四、机关运行费及“三公”经费公开情况</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五、政府性基金预算拨款情况说明</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六、收支预算情况总体说明</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七、其他情况说明</w:t>
      </w:r>
    </w:p>
    <w:p>
      <w:pPr>
        <w:spacing w:line="58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第三部分</w:t>
      </w:r>
      <w:r>
        <w:rPr>
          <w:rFonts w:ascii="仿宋_GB2312" w:hAnsi="宋体" w:eastAsia="仿宋_GB2312"/>
          <w:b/>
          <w:kern w:val="0"/>
          <w:sz w:val="32"/>
          <w:szCs w:val="32"/>
        </w:rPr>
        <w:t> 2018</w:t>
      </w:r>
      <w:r>
        <w:rPr>
          <w:rFonts w:hint="eastAsia" w:ascii="仿宋_GB2312" w:hAnsi="宋体" w:eastAsia="仿宋_GB2312"/>
          <w:b/>
          <w:kern w:val="0"/>
          <w:sz w:val="32"/>
          <w:szCs w:val="32"/>
        </w:rPr>
        <w:t>年度部门预算公开表格</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一、收支预算总表</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二、收入预算总表</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三、支出预算总表</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四、财政拨款收支总表</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五、一般公共预算收入预算总表</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六、一般公共预算支出预算总表</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七、一般公共预算基本支出明细表</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八、一般公共预算财政拨款部门经济分类支出</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九、一般公共预算财政拨款政府经济分类支出表</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十、项目支出明细表</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十一、政府性基金预算总表</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十二、国有资本经营预算收支总表</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十三、三公经费预算表</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十四、政府采购支出表</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十五、政府购买服务支出表</w:t>
      </w:r>
    </w:p>
    <w:p>
      <w:pPr>
        <w:spacing w:line="58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名词解释</w:t>
      </w:r>
    </w:p>
    <w:p>
      <w:pPr>
        <w:spacing w:line="576" w:lineRule="exact"/>
        <w:ind w:firstLine="720" w:firstLineChars="200"/>
        <w:rPr>
          <w:rFonts w:ascii="仿宋_GB2312" w:hAnsi="仿宋" w:eastAsia="仿宋_GB2312" w:cs="仿宋_GB2312"/>
          <w:sz w:val="36"/>
          <w:szCs w:val="36"/>
        </w:rPr>
      </w:pPr>
    </w:p>
    <w:p>
      <w:pPr>
        <w:spacing w:line="576" w:lineRule="exact"/>
        <w:ind w:firstLine="640" w:firstLineChars="200"/>
        <w:rPr>
          <w:rFonts w:ascii="仿宋_GB2312" w:hAnsi="仿宋" w:eastAsia="仿宋_GB2312"/>
          <w:sz w:val="32"/>
          <w:szCs w:val="32"/>
        </w:rPr>
      </w:pPr>
    </w:p>
    <w:p>
      <w:pPr>
        <w:spacing w:line="576" w:lineRule="exact"/>
        <w:ind w:firstLine="640" w:firstLineChars="200"/>
        <w:rPr>
          <w:rFonts w:ascii="仿宋_GB2312" w:hAnsi="仿宋" w:eastAsia="仿宋_GB2312"/>
          <w:sz w:val="32"/>
          <w:szCs w:val="32"/>
        </w:rPr>
      </w:pPr>
    </w:p>
    <w:p>
      <w:pPr>
        <w:spacing w:line="576" w:lineRule="exact"/>
        <w:ind w:firstLine="640" w:firstLineChars="200"/>
        <w:rPr>
          <w:rFonts w:ascii="仿宋_GB2312" w:hAnsi="仿宋" w:eastAsia="仿宋_GB2312"/>
          <w:sz w:val="32"/>
          <w:szCs w:val="32"/>
        </w:rPr>
      </w:pPr>
    </w:p>
    <w:p>
      <w:pPr>
        <w:spacing w:line="576" w:lineRule="exact"/>
        <w:ind w:firstLine="640" w:firstLineChars="200"/>
        <w:rPr>
          <w:rFonts w:ascii="仿宋_GB2312" w:hAnsi="仿宋" w:eastAsia="仿宋_GB2312"/>
          <w:sz w:val="32"/>
          <w:szCs w:val="32"/>
        </w:rPr>
      </w:pPr>
    </w:p>
    <w:p>
      <w:pPr>
        <w:spacing w:line="576" w:lineRule="exact"/>
        <w:ind w:firstLine="640" w:firstLineChars="200"/>
        <w:rPr>
          <w:rFonts w:ascii="仿宋_GB2312" w:hAnsi="仿宋" w:eastAsia="仿宋_GB2312"/>
          <w:sz w:val="32"/>
          <w:szCs w:val="32"/>
        </w:rPr>
      </w:pPr>
    </w:p>
    <w:p>
      <w:pPr>
        <w:spacing w:line="576" w:lineRule="exact"/>
        <w:ind w:firstLine="640" w:firstLineChars="200"/>
        <w:rPr>
          <w:rFonts w:ascii="仿宋_GB2312" w:hAnsi="仿宋" w:eastAsia="仿宋_GB2312"/>
          <w:sz w:val="32"/>
          <w:szCs w:val="32"/>
        </w:rPr>
      </w:pPr>
    </w:p>
    <w:p>
      <w:pPr>
        <w:spacing w:line="576" w:lineRule="exact"/>
        <w:ind w:firstLine="640" w:firstLineChars="200"/>
        <w:rPr>
          <w:rFonts w:ascii="仿宋_GB2312" w:hAnsi="仿宋" w:eastAsia="仿宋_GB2312"/>
          <w:sz w:val="32"/>
          <w:szCs w:val="32"/>
        </w:rPr>
      </w:pPr>
    </w:p>
    <w:p>
      <w:pPr>
        <w:spacing w:line="576" w:lineRule="exact"/>
        <w:ind w:firstLine="640" w:firstLineChars="200"/>
        <w:rPr>
          <w:rFonts w:ascii="仿宋_GB2312" w:hAnsi="仿宋" w:eastAsia="仿宋_GB2312"/>
          <w:sz w:val="32"/>
          <w:szCs w:val="32"/>
        </w:rPr>
      </w:pPr>
    </w:p>
    <w:p>
      <w:pPr>
        <w:spacing w:line="576" w:lineRule="exact"/>
        <w:ind w:firstLine="640" w:firstLineChars="200"/>
        <w:rPr>
          <w:rFonts w:ascii="仿宋_GB2312" w:hAnsi="仿宋" w:eastAsia="仿宋_GB2312"/>
          <w:sz w:val="32"/>
          <w:szCs w:val="32"/>
        </w:rPr>
      </w:pPr>
    </w:p>
    <w:p>
      <w:pPr>
        <w:spacing w:line="576" w:lineRule="exact"/>
        <w:ind w:firstLine="640" w:firstLineChars="200"/>
        <w:rPr>
          <w:rFonts w:ascii="仿宋_GB2312" w:hAnsi="仿宋" w:eastAsia="仿宋_GB2312"/>
          <w:sz w:val="32"/>
          <w:szCs w:val="32"/>
        </w:rPr>
      </w:pPr>
    </w:p>
    <w:p>
      <w:pPr>
        <w:spacing w:line="576" w:lineRule="exact"/>
        <w:ind w:firstLine="640" w:firstLineChars="200"/>
        <w:rPr>
          <w:rFonts w:ascii="仿宋_GB2312" w:hAnsi="仿宋" w:eastAsia="仿宋_GB2312"/>
          <w:sz w:val="32"/>
          <w:szCs w:val="32"/>
        </w:rPr>
      </w:pPr>
    </w:p>
    <w:p>
      <w:pPr>
        <w:spacing w:line="576" w:lineRule="exact"/>
        <w:ind w:firstLine="640" w:firstLineChars="200"/>
        <w:rPr>
          <w:rFonts w:ascii="仿宋_GB2312" w:hAnsi="仿宋" w:eastAsia="仿宋_GB2312"/>
          <w:sz w:val="32"/>
          <w:szCs w:val="32"/>
        </w:rPr>
      </w:pPr>
    </w:p>
    <w:p>
      <w:pPr>
        <w:spacing w:line="576" w:lineRule="exact"/>
        <w:ind w:firstLine="640" w:firstLineChars="200"/>
        <w:rPr>
          <w:rFonts w:ascii="仿宋_GB2312" w:hAnsi="仿宋" w:eastAsia="仿宋_GB2312"/>
          <w:sz w:val="32"/>
          <w:szCs w:val="32"/>
        </w:rPr>
      </w:pPr>
    </w:p>
    <w:p>
      <w:pPr>
        <w:spacing w:line="576" w:lineRule="exact"/>
        <w:ind w:firstLine="640" w:firstLineChars="200"/>
        <w:rPr>
          <w:rFonts w:ascii="仿宋_GB2312" w:hAnsi="仿宋" w:eastAsia="仿宋_GB2312"/>
          <w:sz w:val="32"/>
          <w:szCs w:val="32"/>
        </w:rPr>
      </w:pPr>
    </w:p>
    <w:p>
      <w:pPr>
        <w:spacing w:line="576" w:lineRule="exact"/>
        <w:ind w:firstLine="640" w:firstLineChars="200"/>
        <w:rPr>
          <w:rFonts w:ascii="仿宋_GB2312" w:hAnsi="仿宋" w:eastAsia="仿宋_GB2312"/>
          <w:sz w:val="32"/>
          <w:szCs w:val="32"/>
        </w:rPr>
      </w:pPr>
    </w:p>
    <w:p>
      <w:pPr>
        <w:spacing w:line="576" w:lineRule="exact"/>
        <w:ind w:firstLine="640" w:firstLineChars="200"/>
        <w:rPr>
          <w:rFonts w:ascii="仿宋_GB2312" w:hAnsi="仿宋" w:eastAsia="仿宋_GB2312"/>
          <w:sz w:val="32"/>
          <w:szCs w:val="32"/>
        </w:rPr>
      </w:pPr>
    </w:p>
    <w:p>
      <w:pPr>
        <w:spacing w:line="576" w:lineRule="exact"/>
        <w:rPr>
          <w:rFonts w:ascii="仿宋_GB2312" w:hAnsi="仿宋" w:eastAsia="仿宋_GB2312"/>
          <w:sz w:val="32"/>
          <w:szCs w:val="32"/>
        </w:rPr>
      </w:pPr>
    </w:p>
    <w:p>
      <w:pPr>
        <w:spacing w:line="580" w:lineRule="exact"/>
        <w:outlineLvl w:val="1"/>
        <w:rPr>
          <w:rFonts w:ascii="仿宋_GB2312" w:hAnsi="仿宋" w:eastAsia="仿宋_GB2312"/>
          <w:b/>
          <w:sz w:val="32"/>
          <w:szCs w:val="32"/>
        </w:rPr>
      </w:pPr>
      <w:r>
        <w:rPr>
          <w:rFonts w:hint="eastAsia" w:ascii="仿宋_GB2312" w:hAnsi="仿宋" w:eastAsia="仿宋_GB2312"/>
          <w:b/>
          <w:sz w:val="32"/>
          <w:szCs w:val="32"/>
        </w:rPr>
        <w:t>第一部分</w:t>
      </w:r>
      <w:r>
        <w:rPr>
          <w:rFonts w:ascii="仿宋_GB2312" w:hAnsi="仿宋" w:eastAsia="仿宋_GB2312"/>
          <w:b/>
          <w:sz w:val="32"/>
          <w:szCs w:val="32"/>
        </w:rPr>
        <w:t xml:space="preserve">  </w:t>
      </w:r>
      <w:r>
        <w:rPr>
          <w:rFonts w:hint="eastAsia" w:ascii="仿宋_GB2312" w:hAnsi="仿宋" w:eastAsia="仿宋_GB2312"/>
          <w:b/>
          <w:sz w:val="32"/>
          <w:szCs w:val="32"/>
        </w:rPr>
        <w:t>单位概况</w:t>
      </w:r>
    </w:p>
    <w:p>
      <w:pPr>
        <w:spacing w:line="580" w:lineRule="exact"/>
        <w:outlineLvl w:val="1"/>
        <w:rPr>
          <w:rFonts w:ascii="黑体" w:hAnsi="黑体" w:eastAsia="黑体"/>
          <w:kern w:val="0"/>
          <w:sz w:val="32"/>
          <w:szCs w:val="32"/>
        </w:rPr>
      </w:pPr>
      <w:r>
        <w:rPr>
          <w:rFonts w:ascii="仿宋_GB2312" w:hAnsi="宋体" w:eastAsia="仿宋_GB2312"/>
          <w:kern w:val="0"/>
          <w:sz w:val="32"/>
          <w:szCs w:val="32"/>
        </w:rPr>
        <w:t xml:space="preserve">  </w:t>
      </w:r>
      <w:r>
        <w:rPr>
          <w:rFonts w:hint="eastAsia" w:ascii="黑体" w:hAnsi="黑体" w:eastAsia="黑体"/>
          <w:kern w:val="0"/>
          <w:sz w:val="32"/>
          <w:szCs w:val="32"/>
        </w:rPr>
        <w:t>一、部门职责和机构设置</w:t>
      </w:r>
    </w:p>
    <w:p>
      <w:pPr>
        <w:widowControl/>
        <w:wordWrap w:val="0"/>
        <w:spacing w:line="580" w:lineRule="exact"/>
        <w:ind w:firstLine="480" w:firstLineChars="150"/>
        <w:jc w:val="left"/>
        <w:rPr>
          <w:rFonts w:ascii="黑体" w:hAnsi="黑体" w:eastAsia="黑体"/>
          <w:kern w:val="0"/>
          <w:sz w:val="32"/>
          <w:szCs w:val="32"/>
        </w:rPr>
      </w:pPr>
      <w:r>
        <w:rPr>
          <w:rFonts w:hint="eastAsia" w:ascii="黑体" w:hAnsi="黑体" w:eastAsia="黑体"/>
          <w:kern w:val="0"/>
          <w:sz w:val="32"/>
          <w:szCs w:val="32"/>
        </w:rPr>
        <w:t>（一）部门职责</w:t>
      </w:r>
    </w:p>
    <w:p>
      <w:pPr>
        <w:spacing w:line="560" w:lineRule="exact"/>
        <w:ind w:firstLine="608" w:firstLineChars="200"/>
        <w:rPr>
          <w:rFonts w:ascii="仿宋_GB2312" w:eastAsia="仿宋_GB2312"/>
          <w:spacing w:val="-8"/>
          <w:sz w:val="32"/>
          <w:szCs w:val="32"/>
        </w:rPr>
      </w:pPr>
      <w:r>
        <w:rPr>
          <w:rFonts w:hint="eastAsia" w:ascii="仿宋_GB2312" w:eastAsia="仿宋_GB2312"/>
          <w:spacing w:val="-8"/>
          <w:sz w:val="32"/>
          <w:szCs w:val="32"/>
        </w:rPr>
        <w:t>（一）贯彻实施有关法律、法规、规章，执行国家、自治区、中卫市和中宁县关于国内外贸易、经济合作与投资促进、经济技术协作的发展战略、方针政策，拟订、提出发展规划、计划、措施建议并组织实施。</w:t>
      </w:r>
    </w:p>
    <w:p>
      <w:pPr>
        <w:spacing w:line="560" w:lineRule="exact"/>
        <w:ind w:firstLine="608" w:firstLineChars="200"/>
        <w:rPr>
          <w:rFonts w:ascii="仿宋_GB2312" w:eastAsia="仿宋_GB2312"/>
          <w:spacing w:val="-8"/>
          <w:sz w:val="32"/>
          <w:szCs w:val="32"/>
        </w:rPr>
      </w:pPr>
      <w:r>
        <w:rPr>
          <w:rFonts w:hint="eastAsia" w:ascii="仿宋_GB2312" w:eastAsia="仿宋_GB2312"/>
          <w:spacing w:val="-8"/>
          <w:sz w:val="32"/>
          <w:szCs w:val="32"/>
        </w:rPr>
        <w:t>（二）指导全县流通领域信息化和电子商务建设，推动电子商务的应用与发展。</w:t>
      </w:r>
    </w:p>
    <w:p>
      <w:pPr>
        <w:spacing w:line="560" w:lineRule="exact"/>
        <w:ind w:firstLine="608" w:firstLineChars="200"/>
        <w:rPr>
          <w:rFonts w:ascii="仿宋_GB2312" w:eastAsia="仿宋_GB2312"/>
          <w:spacing w:val="-8"/>
          <w:sz w:val="32"/>
          <w:szCs w:val="32"/>
        </w:rPr>
      </w:pPr>
      <w:r>
        <w:rPr>
          <w:rFonts w:hint="eastAsia" w:ascii="仿宋_GB2312" w:eastAsia="仿宋_GB2312"/>
          <w:spacing w:val="-8"/>
          <w:sz w:val="32"/>
          <w:szCs w:val="32"/>
        </w:rPr>
        <w:t>（三）研究促进流通业发展的重大问题，提出促进流通业发展的相关政策建议和措施，推动流通业健康发展。</w:t>
      </w:r>
    </w:p>
    <w:p>
      <w:pPr>
        <w:spacing w:line="56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四）研究制订全县城乡市场体系建设规划并组织实施，建立健全统一、开放、竞争、有序的市场体系。组织实施全县重要消费品储备管理、市场调控和重要生产资料流通的管理工作，建立健全全县生活必需品市场应急供应机制，监测分析市场运行和商品供求动态。</w:t>
      </w:r>
    </w:p>
    <w:p>
      <w:pPr>
        <w:spacing w:line="560" w:lineRule="exact"/>
        <w:ind w:firstLine="608" w:firstLineChars="200"/>
        <w:rPr>
          <w:rFonts w:ascii="仿宋_GB2312" w:eastAsia="仿宋_GB2312"/>
          <w:spacing w:val="-8"/>
          <w:sz w:val="32"/>
          <w:szCs w:val="32"/>
        </w:rPr>
      </w:pPr>
      <w:r>
        <w:rPr>
          <w:rFonts w:hint="eastAsia" w:ascii="仿宋_GB2312" w:eastAsia="仿宋_GB2312"/>
          <w:spacing w:val="-8"/>
          <w:sz w:val="32"/>
          <w:szCs w:val="32"/>
        </w:rPr>
        <w:t>（五）负责全县物流行业管理工作；指导培育物流市场，推进物流园区、物流信息化、标准化建设；拓展口岸业务，扩大口岸市场。</w:t>
      </w:r>
    </w:p>
    <w:p>
      <w:pPr>
        <w:spacing w:line="56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（六）依法对成品油经营、典当、拍卖、二手车交易</w:t>
      </w:r>
      <w:r>
        <w:rPr>
          <w:rFonts w:hint="eastAsia" w:ascii="仿宋_GB2312" w:hAnsi="宋体" w:eastAsia="仿宋_GB2312" w:cs="宋体"/>
          <w:spacing w:val="-8"/>
          <w:sz w:val="32"/>
          <w:szCs w:val="32"/>
        </w:rPr>
        <w:t>、再生资源回收</w:t>
      </w:r>
      <w:r>
        <w:rPr>
          <w:rFonts w:hint="eastAsia" w:ascii="仿宋_GB2312" w:eastAsia="仿宋_GB2312"/>
          <w:spacing w:val="-8"/>
          <w:sz w:val="32"/>
          <w:szCs w:val="32"/>
        </w:rPr>
        <w:t>等特许行业进行监督管理。</w:t>
      </w:r>
    </w:p>
    <w:p>
      <w:pPr>
        <w:spacing w:line="560" w:lineRule="exact"/>
        <w:ind w:firstLine="608" w:firstLineChars="200"/>
        <w:rPr>
          <w:rFonts w:ascii="仿宋_GB2312" w:eastAsia="仿宋_GB2312"/>
          <w:spacing w:val="-8"/>
          <w:sz w:val="32"/>
          <w:szCs w:val="32"/>
        </w:rPr>
      </w:pPr>
      <w:r>
        <w:rPr>
          <w:rFonts w:hint="eastAsia" w:ascii="仿宋_GB2312" w:eastAsia="仿宋_GB2312"/>
          <w:spacing w:val="-8"/>
          <w:sz w:val="32"/>
          <w:szCs w:val="32"/>
        </w:rPr>
        <w:t>（七）指导、协调、组织、实施全县经济技术合作和招商引资工作，制定</w:t>
      </w:r>
      <w:r>
        <w:rPr>
          <w:rFonts w:hint="eastAsia" w:ascii="仿宋_GB2312" w:eastAsia="仿宋_GB2312"/>
          <w:sz w:val="32"/>
          <w:szCs w:val="32"/>
        </w:rPr>
        <w:t>招商引资项目计划，负责招商项目的宣传推介、考察论证，做好各类经贸交流、经济技术协作活动的联系对接和协调服务。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（八）负责全县招商引资目标计划的落实和督查、考核工作，建立、完善招商引资项目库。根据国家产业政策调整，修订完善招商引资政策，并督导落实。</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（九）负责招商引资项目的全程跟踪服务，协调处理项目引进、落地、建设过程中存在的问题，配合相关部门及时办理外来投资企业及投资者投诉事项。</w:t>
      </w:r>
    </w:p>
    <w:p>
      <w:pPr>
        <w:spacing w:line="56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（十）组织实施全县会展业促进和管理工作，指导、协调、组织、实施各类会展活动。</w:t>
      </w:r>
    </w:p>
    <w:p>
      <w:pPr>
        <w:spacing w:line="56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（十一）承办县人民政府交办的其他事项。</w:t>
      </w:r>
    </w:p>
    <w:p>
      <w:pPr>
        <w:widowControl/>
        <w:wordWrap w:val="0"/>
        <w:spacing w:line="580" w:lineRule="exact"/>
        <w:ind w:firstLine="320" w:firstLineChars="100"/>
        <w:jc w:val="left"/>
        <w:rPr>
          <w:rFonts w:ascii="黑体" w:hAnsi="黑体" w:eastAsia="黑体"/>
          <w:kern w:val="0"/>
          <w:sz w:val="32"/>
          <w:szCs w:val="36"/>
        </w:rPr>
      </w:pPr>
      <w:r>
        <w:rPr>
          <w:rFonts w:hint="eastAsia" w:ascii="仿宋_GB2312" w:hAnsi="仿宋" w:eastAsia="仿宋_GB2312"/>
          <w:sz w:val="32"/>
          <w:szCs w:val="32"/>
        </w:rPr>
        <w:t>　　</w:t>
      </w:r>
      <w:r>
        <w:rPr>
          <w:rFonts w:hint="eastAsia" w:ascii="黑体" w:hAnsi="黑体" w:eastAsia="黑体"/>
          <w:kern w:val="0"/>
          <w:sz w:val="32"/>
          <w:szCs w:val="36"/>
        </w:rPr>
        <w:t>（二）机构情况</w:t>
      </w:r>
    </w:p>
    <w:p>
      <w:pPr>
        <w:widowControl/>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中宁县商务和经济合作局，设置独立预算编制机构1个，包含：办公室、商务服务室、经济技术合作室、电子商务服务中心。</w:t>
      </w:r>
    </w:p>
    <w:p>
      <w:pPr>
        <w:spacing w:line="520" w:lineRule="exact"/>
        <w:ind w:firstLine="645"/>
        <w:rPr>
          <w:rFonts w:ascii="仿宋_GB2312" w:hAnsi="楷体_GB2312" w:eastAsia="仿宋_GB2312" w:cs="楷体_GB2312"/>
          <w:bCs/>
          <w:sz w:val="32"/>
          <w:szCs w:val="32"/>
        </w:rPr>
      </w:pPr>
      <w:r>
        <w:rPr>
          <w:rFonts w:hint="eastAsia" w:ascii="仿宋_GB2312" w:hAnsi="仿宋_GB2312" w:eastAsia="仿宋_GB2312" w:cs="仿宋_GB2312"/>
          <w:bCs/>
          <w:sz w:val="32"/>
          <w:szCs w:val="32"/>
        </w:rPr>
        <w:t xml:space="preserve">3.人员编制情况（实有编制数、实有人数以及上下年人员增减变动）   </w:t>
      </w:r>
      <w:r>
        <w:rPr>
          <w:rFonts w:hint="eastAsia" w:ascii="仿宋_GB2312" w:hAnsi="楷体_GB2312" w:eastAsia="仿宋_GB2312" w:cs="楷体_GB2312"/>
          <w:bCs/>
          <w:sz w:val="32"/>
          <w:szCs w:val="32"/>
        </w:rPr>
        <w:t xml:space="preserve"> </w:t>
      </w:r>
    </w:p>
    <w:p>
      <w:pPr>
        <w:widowControl/>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2014年12月县政府机构改革后，县人民政府对商务和经济技术合作局主要职责、岗位设置和人员编制重新进行了规定，商务和经济技术合作局核定行政编制10人，现实有人员10名，与上年相同。</w:t>
      </w:r>
    </w:p>
    <w:p>
      <w:pPr>
        <w:spacing w:line="580" w:lineRule="exact"/>
        <w:rPr>
          <w:rFonts w:ascii="黑体" w:hAnsi="黑体" w:eastAsia="黑体"/>
          <w:b/>
          <w:kern w:val="0"/>
          <w:sz w:val="32"/>
          <w:szCs w:val="32"/>
        </w:rPr>
      </w:pPr>
      <w:r>
        <w:rPr>
          <w:rFonts w:hint="eastAsia" w:ascii="黑体" w:hAnsi="黑体" w:eastAsia="黑体"/>
          <w:b/>
          <w:sz w:val="32"/>
          <w:szCs w:val="32"/>
        </w:rPr>
        <w:t>　</w:t>
      </w:r>
      <w:r>
        <w:rPr>
          <w:rFonts w:ascii="黑体" w:hAnsi="黑体" w:eastAsia="黑体"/>
          <w:b/>
          <w:sz w:val="32"/>
          <w:szCs w:val="32"/>
        </w:rPr>
        <w:t xml:space="preserve">  </w:t>
      </w:r>
      <w:r>
        <w:rPr>
          <w:rFonts w:hint="eastAsia" w:ascii="黑体" w:hAnsi="黑体" w:eastAsia="黑体"/>
          <w:b/>
          <w:kern w:val="0"/>
          <w:sz w:val="32"/>
          <w:szCs w:val="32"/>
        </w:rPr>
        <w:t>第二部分</w:t>
      </w:r>
      <w:r>
        <w:rPr>
          <w:rFonts w:ascii="黑体" w:hAnsi="黑体" w:eastAsia="黑体"/>
          <w:b/>
          <w:kern w:val="0"/>
          <w:sz w:val="32"/>
          <w:szCs w:val="32"/>
        </w:rPr>
        <w:t xml:space="preserve">  2018</w:t>
      </w:r>
      <w:r>
        <w:rPr>
          <w:rFonts w:hint="eastAsia" w:ascii="黑体" w:hAnsi="黑体" w:eastAsia="黑体"/>
          <w:b/>
          <w:kern w:val="0"/>
          <w:sz w:val="32"/>
          <w:szCs w:val="32"/>
        </w:rPr>
        <w:t>年度部门预算数据说明</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一、本级预算及所属单位预算在内的汇总预算</w:t>
      </w:r>
    </w:p>
    <w:p>
      <w:pPr>
        <w:widowControl/>
        <w:ind w:firstLine="640" w:firstLineChars="200"/>
        <w:jc w:val="left"/>
        <w:rPr>
          <w:rFonts w:ascii="仿宋_GB2312" w:hAnsi="仿宋_GB2312" w:eastAsia="仿宋_GB2312" w:cs="仿宋_GB2312"/>
          <w:sz w:val="32"/>
          <w:szCs w:val="32"/>
        </w:rPr>
      </w:pPr>
      <w:r>
        <w:rPr>
          <w:rFonts w:hint="eastAsia" w:ascii="仿宋_GB2312" w:hAnsi="仿宋" w:eastAsia="仿宋_GB2312"/>
          <w:sz w:val="32"/>
          <w:szCs w:val="32"/>
        </w:rPr>
        <w:t>中宁县商务和经济技术合作局本级</w:t>
      </w:r>
      <w:r>
        <w:rPr>
          <w:rFonts w:ascii="仿宋_GB2312" w:hAnsi="仿宋" w:eastAsia="仿宋_GB2312"/>
          <w:sz w:val="32"/>
          <w:szCs w:val="32"/>
        </w:rPr>
        <w:t>2018</w:t>
      </w:r>
      <w:r>
        <w:rPr>
          <w:rFonts w:hint="eastAsia" w:ascii="仿宋_GB2312" w:hAnsi="仿宋" w:eastAsia="仿宋_GB2312"/>
          <w:sz w:val="32"/>
          <w:szCs w:val="32"/>
        </w:rPr>
        <w:t>年财政拨款收支总预算</w:t>
      </w:r>
      <w:r>
        <w:rPr>
          <w:rFonts w:hint="eastAsia" w:ascii="仿宋_GB2312" w:hAnsi="仿宋_GB2312" w:eastAsia="仿宋_GB2312" w:cs="仿宋_GB2312"/>
          <w:sz w:val="32"/>
          <w:szCs w:val="32"/>
        </w:rPr>
        <w:t>286.79</w:t>
      </w:r>
      <w:r>
        <w:rPr>
          <w:rFonts w:hint="eastAsia" w:ascii="仿宋_GB2312" w:hAnsi="仿宋" w:eastAsia="仿宋_GB2312"/>
          <w:sz w:val="32"/>
          <w:szCs w:val="32"/>
        </w:rPr>
        <w:t>万元。与上年269.8万元相比增加</w:t>
      </w:r>
      <w:r>
        <w:rPr>
          <w:rFonts w:hint="eastAsia" w:ascii="仿宋_GB2312" w:hAnsi="仿宋_GB2312" w:eastAsia="仿宋_GB2312" w:cs="仿宋_GB2312"/>
          <w:sz w:val="32"/>
          <w:szCs w:val="32"/>
        </w:rPr>
        <w:t>16.99万元</w:t>
      </w:r>
      <w:r>
        <w:rPr>
          <w:rFonts w:hint="eastAsia" w:ascii="仿宋_GB2312" w:hAnsi="仿宋" w:eastAsia="仿宋_GB2312"/>
          <w:sz w:val="32"/>
          <w:szCs w:val="32"/>
        </w:rPr>
        <w:t>，增长6.3%，原因是</w:t>
      </w:r>
      <w:r>
        <w:rPr>
          <w:rFonts w:hint="eastAsia" w:ascii="仿宋_GB2312" w:hAnsi="仿宋_GB2312" w:eastAsia="仿宋_GB2312" w:cs="仿宋_GB2312"/>
          <w:sz w:val="32"/>
          <w:szCs w:val="32"/>
        </w:rPr>
        <w:t>上级加大了招商引资力度</w:t>
      </w:r>
      <w:r>
        <w:rPr>
          <w:rFonts w:hint="eastAsia" w:ascii="仿宋_GB2312" w:hAnsi="仿宋" w:eastAsia="仿宋_GB2312"/>
          <w:sz w:val="32"/>
          <w:szCs w:val="32"/>
        </w:rPr>
        <w:t>。收入预算包括：一</w:t>
      </w:r>
      <w:r>
        <w:rPr>
          <w:rFonts w:hint="eastAsia" w:ascii="仿宋_GB2312" w:hAnsi="仿宋_GB2312" w:eastAsia="仿宋_GB2312" w:cs="仿宋_GB2312"/>
          <w:sz w:val="32"/>
          <w:szCs w:val="32"/>
        </w:rPr>
        <w:t>般公共预算拨款286.79万元，政府性基金预算拨款0万元。</w:t>
      </w:r>
      <w:r>
        <w:rPr>
          <w:rFonts w:hint="eastAsia" w:ascii="仿宋_GB2312" w:hAnsi="仿宋" w:eastAsia="仿宋_GB2312"/>
          <w:sz w:val="32"/>
          <w:szCs w:val="32"/>
        </w:rPr>
        <w:t>支出预算包括：按政府收支分类功能科目如下：</w:t>
      </w:r>
      <w:r>
        <w:rPr>
          <w:rFonts w:hint="eastAsia" w:ascii="仿宋_GB2312" w:hAnsi="仿宋_GB2312" w:eastAsia="仿宋_GB2312" w:cs="仿宋_GB2312"/>
          <w:sz w:val="32"/>
          <w:szCs w:val="32"/>
        </w:rPr>
        <w:t>一般公共服务支出 113.58万元、社会保障和就业支出20.31万元、医疗卫生与计划生育支出8.56万元、住房保障支出14.34万元。</w:t>
      </w:r>
    </w:p>
    <w:p>
      <w:pPr>
        <w:widowControl/>
        <w:ind w:firstLine="640" w:firstLineChars="200"/>
        <w:jc w:val="left"/>
        <w:rPr>
          <w:rFonts w:ascii="仿宋_GB2312" w:hAnsi="仿宋" w:eastAsia="仿宋_GB2312"/>
          <w:sz w:val="32"/>
          <w:szCs w:val="32"/>
        </w:rPr>
      </w:pPr>
      <w:r>
        <w:rPr>
          <w:rFonts w:hint="eastAsia" w:ascii="仿宋_GB2312" w:hAnsi="仿宋" w:eastAsia="仿宋_GB2312"/>
          <w:sz w:val="32"/>
          <w:szCs w:val="32"/>
        </w:rPr>
        <w:t>中宁县商务和经济技术合作局属于独立核算单位，预算公开事项按照一级预算单位独立公开。</w:t>
      </w:r>
    </w:p>
    <w:p>
      <w:pPr>
        <w:widowControl/>
        <w:spacing w:line="560" w:lineRule="exact"/>
        <w:ind w:firstLine="480"/>
        <w:jc w:val="left"/>
        <w:rPr>
          <w:rFonts w:ascii="黑体" w:hAnsi="黑体" w:eastAsia="黑体"/>
          <w:b/>
          <w:sz w:val="32"/>
          <w:szCs w:val="32"/>
        </w:rPr>
      </w:pPr>
      <w:r>
        <w:rPr>
          <w:rFonts w:hint="eastAsia" w:ascii="黑体" w:hAnsi="黑体" w:eastAsia="黑体"/>
          <w:b/>
          <w:sz w:val="32"/>
          <w:szCs w:val="32"/>
        </w:rPr>
        <w:t>二、预算收支增减变化情况</w:t>
      </w:r>
    </w:p>
    <w:p>
      <w:pPr>
        <w:widowControl/>
        <w:spacing w:line="560" w:lineRule="exact"/>
        <w:ind w:firstLine="480"/>
        <w:jc w:val="left"/>
        <w:rPr>
          <w:rFonts w:ascii="仿宋_GB2312" w:hAnsi="仿宋" w:eastAsia="仿宋_GB2312"/>
          <w:b/>
          <w:sz w:val="32"/>
          <w:szCs w:val="32"/>
        </w:rPr>
      </w:pPr>
      <w:r>
        <w:rPr>
          <w:rFonts w:hint="eastAsia" w:ascii="仿宋_GB2312" w:hAnsi="仿宋" w:eastAsia="仿宋_GB2312"/>
          <w:b/>
          <w:sz w:val="32"/>
          <w:szCs w:val="32"/>
        </w:rPr>
        <w:t>（一）基本支出情况说明。</w:t>
      </w:r>
    </w:p>
    <w:p>
      <w:pPr>
        <w:widowControl/>
        <w:spacing w:line="560" w:lineRule="exact"/>
        <w:ind w:firstLine="480"/>
        <w:jc w:val="left"/>
        <w:rPr>
          <w:rFonts w:ascii="仿宋_GB2312" w:hAnsi="仿宋" w:eastAsia="仿宋_GB2312"/>
          <w:sz w:val="32"/>
          <w:szCs w:val="32"/>
        </w:rPr>
      </w:pPr>
      <w:r>
        <w:rPr>
          <w:rFonts w:hint="eastAsia" w:ascii="仿宋_GB2312" w:hAnsi="仿宋" w:eastAsia="仿宋_GB2312"/>
          <w:sz w:val="32"/>
          <w:szCs w:val="32"/>
        </w:rPr>
        <w:t>中宁县</w:t>
      </w:r>
      <w:r>
        <w:rPr>
          <w:rFonts w:hint="eastAsia" w:ascii="仿宋_GB2312" w:hAnsi="仿宋" w:eastAsia="仿宋_GB2312"/>
          <w:sz w:val="32"/>
          <w:szCs w:val="32"/>
          <w:lang w:eastAsia="zh-CN"/>
        </w:rPr>
        <w:t>商务和经济技术合作局</w:t>
      </w:r>
      <w:r>
        <w:rPr>
          <w:rFonts w:ascii="仿宋_GB2312" w:hAnsi="仿宋" w:eastAsia="仿宋_GB2312"/>
          <w:sz w:val="32"/>
          <w:szCs w:val="32"/>
        </w:rPr>
        <w:t>2018</w:t>
      </w:r>
      <w:r>
        <w:rPr>
          <w:rFonts w:hint="eastAsia" w:ascii="仿宋_GB2312" w:hAnsi="仿宋" w:eastAsia="仿宋_GB2312"/>
          <w:sz w:val="32"/>
          <w:szCs w:val="32"/>
        </w:rPr>
        <w:t>年一般公共预算拨款基本支出286.79万元，比</w:t>
      </w:r>
      <w:r>
        <w:rPr>
          <w:rFonts w:ascii="仿宋_GB2312" w:hAnsi="仿宋" w:eastAsia="仿宋_GB2312"/>
          <w:sz w:val="32"/>
          <w:szCs w:val="32"/>
        </w:rPr>
        <w:t>2017</w:t>
      </w:r>
      <w:r>
        <w:rPr>
          <w:rFonts w:hint="eastAsia" w:ascii="仿宋_GB2312" w:hAnsi="仿宋" w:eastAsia="仿宋_GB2312"/>
          <w:sz w:val="32"/>
          <w:szCs w:val="32"/>
        </w:rPr>
        <w:t>年执行数据增加</w:t>
      </w:r>
      <w:r>
        <w:rPr>
          <w:rFonts w:hint="eastAsia" w:ascii="仿宋_GB2312" w:hAnsi="仿宋_GB2312" w:eastAsia="仿宋_GB2312" w:cs="仿宋_GB2312"/>
          <w:sz w:val="32"/>
          <w:szCs w:val="32"/>
        </w:rPr>
        <w:t>16.99</w:t>
      </w:r>
      <w:r>
        <w:rPr>
          <w:rFonts w:hint="eastAsia" w:ascii="仿宋_GB2312" w:hAnsi="仿宋" w:eastAsia="仿宋_GB2312"/>
          <w:sz w:val="32"/>
          <w:szCs w:val="32"/>
        </w:rPr>
        <w:t>万元，上升6.3</w:t>
      </w:r>
      <w:r>
        <w:rPr>
          <w:rFonts w:ascii="仿宋_GB2312" w:hAnsi="仿宋" w:eastAsia="仿宋_GB2312"/>
          <w:sz w:val="32"/>
          <w:szCs w:val="32"/>
        </w:rPr>
        <w:t>%</w:t>
      </w:r>
      <w:r>
        <w:rPr>
          <w:rFonts w:hint="eastAsia" w:ascii="仿宋_GB2312" w:hAnsi="仿宋" w:eastAsia="仿宋_GB2312"/>
          <w:sz w:val="32"/>
          <w:szCs w:val="32"/>
        </w:rPr>
        <w:t>。其中：</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人员经费156.79万元，主要包括：基本工资、津贴补贴、奖金、社会保障缴费、其他工资福利支出、生活补助、医疗费、住房公积金、购房补贴、其他对个人和家庭的补助支出等。</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公用经费13.28万元，主要包括：办公费 、水费、电费、差旅费、工会经费、其他交通费等。</w:t>
      </w:r>
    </w:p>
    <w:p>
      <w:pPr>
        <w:widowControl/>
        <w:spacing w:line="560" w:lineRule="exact"/>
        <w:ind w:firstLine="480"/>
        <w:jc w:val="left"/>
        <w:rPr>
          <w:rFonts w:ascii="仿宋_GB2312" w:hAnsi="仿宋" w:eastAsia="仿宋_GB2312"/>
          <w:b/>
          <w:sz w:val="32"/>
          <w:szCs w:val="32"/>
        </w:rPr>
      </w:pPr>
      <w:r>
        <w:rPr>
          <w:rFonts w:hint="eastAsia" w:ascii="仿宋_GB2312" w:hAnsi="仿宋" w:eastAsia="仿宋_GB2312"/>
          <w:b/>
          <w:sz w:val="32"/>
          <w:szCs w:val="32"/>
        </w:rPr>
        <w:t>（二）项目支出情况说明。</w:t>
      </w:r>
    </w:p>
    <w:p>
      <w:pPr>
        <w:widowControl/>
        <w:spacing w:line="560" w:lineRule="exact"/>
        <w:ind w:firstLine="480"/>
        <w:jc w:val="left"/>
        <w:rPr>
          <w:rFonts w:ascii="仿宋_GB2312" w:hAnsi="仿宋" w:eastAsia="仿宋_GB2312"/>
          <w:sz w:val="32"/>
          <w:szCs w:val="32"/>
        </w:rPr>
      </w:pPr>
      <w:r>
        <w:rPr>
          <w:rFonts w:hint="eastAsia" w:ascii="仿宋_GB2312" w:hAnsi="仿宋" w:eastAsia="仿宋_GB2312"/>
          <w:sz w:val="32"/>
          <w:szCs w:val="32"/>
        </w:rPr>
        <w:t>中宁县</w:t>
      </w:r>
      <w:r>
        <w:rPr>
          <w:rFonts w:hint="eastAsia" w:ascii="仿宋_GB2312" w:hAnsi="仿宋" w:eastAsia="仿宋_GB2312"/>
          <w:sz w:val="32"/>
          <w:szCs w:val="32"/>
          <w:lang w:eastAsia="zh-CN"/>
        </w:rPr>
        <w:t>商务和经济技术合作局</w:t>
      </w:r>
      <w:r>
        <w:rPr>
          <w:rFonts w:ascii="仿宋_GB2312" w:hAnsi="仿宋" w:eastAsia="仿宋_GB2312"/>
          <w:sz w:val="32"/>
          <w:szCs w:val="32"/>
        </w:rPr>
        <w:t>2018</w:t>
      </w:r>
      <w:r>
        <w:rPr>
          <w:rFonts w:hint="eastAsia" w:ascii="仿宋_GB2312" w:hAnsi="仿宋" w:eastAsia="仿宋_GB2312"/>
          <w:sz w:val="32"/>
          <w:szCs w:val="32"/>
        </w:rPr>
        <w:t>年一般公共预算拨款项目支出130万元，与上年一致。其中：</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其中：2011308（招商引资）130万元，同比无变化。</w:t>
      </w:r>
      <w:r>
        <w:rPr>
          <w:rFonts w:hint="eastAsia" w:ascii="仿宋_GB2312" w:hAnsi="楷体_GB2312" w:eastAsia="仿宋_GB2312" w:cs="楷体_GB2312"/>
          <w:b/>
          <w:bCs/>
          <w:sz w:val="32"/>
          <w:szCs w:val="32"/>
        </w:rPr>
        <w:t xml:space="preserve"> </w:t>
      </w:r>
    </w:p>
    <w:p>
      <w:pPr>
        <w:spacing w:line="580" w:lineRule="exact"/>
        <w:ind w:firstLine="643" w:firstLineChars="200"/>
        <w:rPr>
          <w:rFonts w:ascii="黑体" w:hAnsi="黑体" w:eastAsia="黑体"/>
          <w:b/>
          <w:sz w:val="32"/>
          <w:szCs w:val="32"/>
        </w:rPr>
      </w:pPr>
      <w:r>
        <w:rPr>
          <w:rFonts w:hint="eastAsia" w:ascii="黑体" w:hAnsi="黑体" w:eastAsia="黑体"/>
          <w:b/>
          <w:sz w:val="32"/>
          <w:szCs w:val="32"/>
        </w:rPr>
        <w:t>三、政府采购安排情况说明</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本年度中宁县商务和经济技术合作局，无政府采购项目。</w:t>
      </w:r>
    </w:p>
    <w:p>
      <w:pPr>
        <w:spacing w:line="580" w:lineRule="exact"/>
        <w:ind w:firstLine="803" w:firstLineChars="250"/>
        <w:rPr>
          <w:rFonts w:ascii="黑体" w:hAnsi="黑体" w:eastAsia="黑体"/>
          <w:b/>
          <w:sz w:val="32"/>
          <w:szCs w:val="32"/>
        </w:rPr>
      </w:pPr>
      <w:r>
        <w:rPr>
          <w:rFonts w:hint="eastAsia" w:ascii="黑体" w:hAnsi="黑体" w:eastAsia="黑体"/>
          <w:b/>
          <w:sz w:val="32"/>
          <w:szCs w:val="32"/>
        </w:rPr>
        <w:t>四、机关运行费及“三公”经费公开情况</w:t>
      </w:r>
    </w:p>
    <w:p>
      <w:pPr>
        <w:spacing w:line="52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2018年公用经费预算合计0万元，公用经费按照每人每年0.5万元的标准，与上年相比减少4.6万元，主要是公车改革，取消公车运行费以及压缩公用支出预算费用。三公经费预算合计0万元，其中因公出国（境）预算0万元，与上年相比无变化，原因是无因公出国出境人员；公务用公务车运行维护费0万元，与上年相比无变化，原因是公车改革取消公务用车运行维护费；公务用车购置费0万元，与上年相比无变化，无新购入公务用车。</w:t>
      </w:r>
    </w:p>
    <w:p>
      <w:pPr>
        <w:widowControl/>
        <w:spacing w:line="560" w:lineRule="exact"/>
        <w:ind w:firstLine="480"/>
        <w:jc w:val="left"/>
        <w:rPr>
          <w:rFonts w:ascii="黑体" w:hAnsi="宋体" w:eastAsia="黑体" w:cs="宋体"/>
          <w:b/>
          <w:kern w:val="0"/>
          <w:sz w:val="32"/>
          <w:szCs w:val="32"/>
        </w:rPr>
      </w:pPr>
      <w:r>
        <w:rPr>
          <w:rFonts w:hint="eastAsia" w:ascii="黑体" w:hAnsi="宋体" w:eastAsia="黑体" w:cs="宋体"/>
          <w:b/>
          <w:kern w:val="0"/>
          <w:sz w:val="32"/>
          <w:szCs w:val="32"/>
        </w:rPr>
        <w:t>五、政府性基金预算拨款情况说明</w:t>
      </w:r>
    </w:p>
    <w:p>
      <w:pPr>
        <w:widowControl/>
        <w:spacing w:line="560" w:lineRule="exact"/>
        <w:ind w:firstLine="480"/>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（一）基本支出情况说明</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2018年政府性基金预算拨款基本支出 0万元，比2017年执行数据增加（减少）0万元，增长（下降） 0 %。其中：</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人员经费0万元，主要包括：基本工资、津贴补贴、奖金、社会保障缴费、伙食补助费、绩效工资、其他工资福利支出、离休费、退休费、抚恤金、生活补助、医疗费、助学金、奖励金、住房公积金、提租补贴、购房补贴、其他对个人和家庭的补助支出；</w:t>
      </w:r>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公用经费0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支出、办公设备购置、专用设备购置。</w:t>
      </w:r>
    </w:p>
    <w:p>
      <w:pPr>
        <w:widowControl/>
        <w:spacing w:line="560" w:lineRule="exact"/>
        <w:ind w:firstLine="480"/>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（二）项目支出情况说明</w:t>
      </w:r>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2018年政府性基金预算拨款项目支出0万元,无项目说明</w:t>
      </w:r>
    </w:p>
    <w:p>
      <w:pPr>
        <w:widowControl/>
        <w:spacing w:line="560" w:lineRule="exact"/>
        <w:ind w:firstLine="480"/>
        <w:jc w:val="left"/>
        <w:rPr>
          <w:rFonts w:ascii="黑体" w:hAnsi="宋体" w:eastAsia="黑体" w:cs="宋体"/>
          <w:b/>
          <w:kern w:val="0"/>
          <w:sz w:val="32"/>
          <w:szCs w:val="32"/>
        </w:rPr>
      </w:pPr>
      <w:r>
        <w:rPr>
          <w:rFonts w:hint="eastAsia" w:ascii="黑体" w:hAnsi="宋体" w:eastAsia="黑体" w:cs="宋体"/>
          <w:b/>
          <w:kern w:val="0"/>
          <w:sz w:val="32"/>
          <w:szCs w:val="32"/>
        </w:rPr>
        <w:t>六、收支预算情况的总体说明</w:t>
      </w:r>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收入总预算286.79万元，支出总预算286.79万元。</w:t>
      </w:r>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收入预算包括：上年结转0万元，占0%；财政拨款收入286.79万元，占100%；事业收入0万元，占0%；事业单位经营收入0万元，占0%；其他收入0万元，占0%。</w:t>
      </w:r>
    </w:p>
    <w:p>
      <w:pPr>
        <w:widowControl/>
        <w:wordWrap w:val="0"/>
        <w:spacing w:line="580" w:lineRule="exact"/>
        <w:ind w:firstLine="800" w:firstLineChars="250"/>
        <w:jc w:val="left"/>
        <w:rPr>
          <w:rFonts w:ascii="仿宋_GB2312" w:hAnsi="宋体" w:eastAsia="仿宋_GB2312"/>
          <w:kern w:val="0"/>
          <w:sz w:val="32"/>
          <w:szCs w:val="32"/>
        </w:rPr>
      </w:pPr>
      <w:r>
        <w:rPr>
          <w:rFonts w:hint="eastAsia" w:ascii="仿宋_GB2312" w:hAnsi="宋体" w:eastAsia="仿宋_GB2312" w:cs="宋体"/>
          <w:kern w:val="0"/>
          <w:sz w:val="32"/>
          <w:szCs w:val="32"/>
        </w:rPr>
        <w:t>支出预算包括：基本支出156.79万元，占54.7% ；项目支出130万元，事业单位经营支出0万元，占 0%；上缴上级支出0万元，占0%；对附属单位补助支出0万元，占0%</w:t>
      </w:r>
    </w:p>
    <w:p>
      <w:pPr>
        <w:widowControl/>
        <w:wordWrap w:val="0"/>
        <w:spacing w:line="580" w:lineRule="exact"/>
        <w:ind w:firstLine="640" w:firstLineChars="200"/>
        <w:jc w:val="left"/>
        <w:rPr>
          <w:rFonts w:ascii="黑体" w:hAnsi="黑体" w:eastAsia="黑体"/>
          <w:kern w:val="0"/>
          <w:sz w:val="32"/>
          <w:szCs w:val="32"/>
        </w:rPr>
      </w:pPr>
      <w:r>
        <w:rPr>
          <w:rFonts w:hint="eastAsia" w:ascii="黑体" w:hAnsi="黑体" w:eastAsia="黑体"/>
          <w:kern w:val="0"/>
          <w:sz w:val="32"/>
          <w:szCs w:val="32"/>
        </w:rPr>
        <w:t>七、其他情况说明</w:t>
      </w:r>
    </w:p>
    <w:p>
      <w:pPr>
        <w:widowControl/>
        <w:wordWrap w:val="0"/>
        <w:spacing w:line="580" w:lineRule="exact"/>
        <w:ind w:firstLine="640" w:firstLineChars="200"/>
        <w:jc w:val="left"/>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国有资产占用使用情况</w:t>
      </w:r>
      <w:bookmarkStart w:id="0" w:name="_GoBack"/>
      <w:bookmarkEnd w:id="0"/>
    </w:p>
    <w:p>
      <w:pPr>
        <w:widowControl/>
        <w:ind w:firstLine="480"/>
        <w:jc w:val="left"/>
        <w:rPr>
          <w:rFonts w:ascii="仿宋_GB2312" w:hAnsi="仿宋" w:eastAsia="仿宋_GB2312"/>
          <w:sz w:val="32"/>
          <w:szCs w:val="32"/>
        </w:rPr>
      </w:pPr>
      <w:r>
        <w:rPr>
          <w:rFonts w:hint="eastAsia" w:ascii="仿宋_GB2312" w:hAnsi="仿宋" w:eastAsia="仿宋_GB2312"/>
          <w:sz w:val="32"/>
          <w:szCs w:val="32"/>
        </w:rPr>
        <w:t>截至</w:t>
      </w:r>
      <w:r>
        <w:rPr>
          <w:rFonts w:ascii="仿宋_GB2312" w:hAnsi="仿宋" w:eastAsia="仿宋_GB2312"/>
          <w:sz w:val="32"/>
          <w:szCs w:val="32"/>
        </w:rPr>
        <w:t>2017</w:t>
      </w:r>
      <w:r>
        <w:rPr>
          <w:rFonts w:hint="eastAsia" w:ascii="仿宋_GB2312" w:hAnsi="仿宋" w:eastAsia="仿宋_GB2312"/>
          <w:sz w:val="32"/>
          <w:szCs w:val="32"/>
        </w:rPr>
        <w:t>年</w:t>
      </w:r>
      <w:r>
        <w:rPr>
          <w:rFonts w:ascii="仿宋_GB2312" w:hAnsi="仿宋" w:eastAsia="仿宋_GB2312"/>
          <w:sz w:val="32"/>
          <w:szCs w:val="32"/>
        </w:rPr>
        <w:t>12</w:t>
      </w:r>
      <w:r>
        <w:rPr>
          <w:rFonts w:hint="eastAsia" w:ascii="仿宋_GB2312" w:hAnsi="仿宋" w:eastAsia="仿宋_GB2312"/>
          <w:sz w:val="32"/>
          <w:szCs w:val="32"/>
        </w:rPr>
        <w:t>月</w:t>
      </w:r>
      <w:r>
        <w:rPr>
          <w:rFonts w:ascii="仿宋_GB2312" w:hAnsi="仿宋" w:eastAsia="仿宋_GB2312"/>
          <w:sz w:val="32"/>
          <w:szCs w:val="32"/>
        </w:rPr>
        <w:t>31</w:t>
      </w:r>
      <w:r>
        <w:rPr>
          <w:rFonts w:hint="eastAsia" w:ascii="仿宋_GB2312" w:hAnsi="仿宋" w:eastAsia="仿宋_GB2312"/>
          <w:sz w:val="32"/>
          <w:szCs w:val="32"/>
        </w:rPr>
        <w:t>日，中宁县商务和经济技术合作局占用使用国有资产总体情况为房屋</w:t>
      </w:r>
      <w:r>
        <w:rPr>
          <w:rFonts w:hint="eastAsia" w:ascii="仿宋_GB2312" w:hAnsi="仿宋" w:eastAsia="仿宋_GB2312"/>
          <w:sz w:val="32"/>
          <w:szCs w:val="32"/>
          <w:lang w:val="en-US" w:eastAsia="zh-CN"/>
        </w:rPr>
        <w:t>0</w:t>
      </w:r>
      <w:r>
        <w:rPr>
          <w:rFonts w:hint="eastAsia" w:ascii="仿宋_GB2312" w:hAnsi="仿宋" w:eastAsia="仿宋_GB2312"/>
          <w:sz w:val="32"/>
          <w:szCs w:val="32"/>
        </w:rPr>
        <w:t>平方米，土地</w:t>
      </w:r>
      <w:r>
        <w:rPr>
          <w:rFonts w:ascii="仿宋_GB2312" w:hAnsi="仿宋" w:eastAsia="仿宋_GB2312"/>
          <w:sz w:val="32"/>
          <w:szCs w:val="32"/>
        </w:rPr>
        <w:t xml:space="preserve"> 0 </w:t>
      </w:r>
      <w:r>
        <w:rPr>
          <w:rFonts w:hint="eastAsia" w:ascii="仿宋_GB2312" w:hAnsi="仿宋" w:eastAsia="仿宋_GB2312"/>
          <w:sz w:val="32"/>
          <w:szCs w:val="32"/>
        </w:rPr>
        <w:t>平方米，价值</w:t>
      </w:r>
      <w:r>
        <w:rPr>
          <w:rFonts w:ascii="仿宋_GB2312" w:hAnsi="仿宋" w:eastAsia="仿宋_GB2312"/>
          <w:sz w:val="32"/>
          <w:szCs w:val="32"/>
        </w:rPr>
        <w:t xml:space="preserve"> 0 </w:t>
      </w:r>
      <w:r>
        <w:rPr>
          <w:rFonts w:hint="eastAsia" w:ascii="仿宋_GB2312" w:hAnsi="仿宋" w:eastAsia="仿宋_GB2312"/>
          <w:sz w:val="32"/>
          <w:szCs w:val="32"/>
        </w:rPr>
        <w:t>万元；车辆</w:t>
      </w:r>
      <w:r>
        <w:rPr>
          <w:rFonts w:ascii="仿宋_GB2312" w:hAnsi="仿宋" w:eastAsia="仿宋_GB2312"/>
          <w:sz w:val="32"/>
          <w:szCs w:val="32"/>
        </w:rPr>
        <w:t xml:space="preserve"> </w:t>
      </w:r>
      <w:r>
        <w:rPr>
          <w:rFonts w:hint="eastAsia" w:ascii="仿宋_GB2312" w:hAnsi="仿宋" w:eastAsia="仿宋_GB2312"/>
          <w:sz w:val="32"/>
          <w:szCs w:val="32"/>
        </w:rPr>
        <w:t>0</w:t>
      </w:r>
      <w:r>
        <w:rPr>
          <w:rFonts w:ascii="仿宋_GB2312" w:hAnsi="仿宋" w:eastAsia="仿宋_GB2312"/>
          <w:sz w:val="32"/>
          <w:szCs w:val="32"/>
        </w:rPr>
        <w:t xml:space="preserve"> </w:t>
      </w:r>
      <w:r>
        <w:rPr>
          <w:rFonts w:hint="eastAsia" w:ascii="仿宋_GB2312" w:hAnsi="仿宋" w:eastAsia="仿宋_GB2312"/>
          <w:sz w:val="32"/>
          <w:szCs w:val="32"/>
        </w:rPr>
        <w:t>辆；其他资产价值</w:t>
      </w:r>
      <w:r>
        <w:rPr>
          <w:rFonts w:hint="eastAsia" w:ascii="仿宋_GB2312" w:hAnsi="仿宋" w:eastAsia="仿宋_GB2312"/>
          <w:sz w:val="32"/>
          <w:szCs w:val="32"/>
          <w:lang w:val="en-US" w:eastAsia="zh-CN"/>
        </w:rPr>
        <w:t>11640</w:t>
      </w:r>
      <w:r>
        <w:rPr>
          <w:rFonts w:hint="eastAsia" w:ascii="仿宋_GB2312" w:hAnsi="仿宋" w:eastAsia="仿宋_GB2312"/>
          <w:sz w:val="32"/>
          <w:szCs w:val="32"/>
        </w:rPr>
        <w:t>万元。</w:t>
      </w:r>
    </w:p>
    <w:p>
      <w:pPr>
        <w:widowControl/>
        <w:ind w:firstLine="480"/>
        <w:jc w:val="left"/>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lang w:eastAsia="zh-CN"/>
        </w:rPr>
        <w:t>无</w:t>
      </w:r>
      <w:r>
        <w:rPr>
          <w:rFonts w:hint="eastAsia" w:ascii="仿宋_GB2312" w:hAnsi="仿宋" w:eastAsia="仿宋_GB2312"/>
          <w:sz w:val="32"/>
          <w:szCs w:val="32"/>
        </w:rPr>
        <w:t>其他需说明的事项</w:t>
      </w:r>
    </w:p>
    <w:p>
      <w:pPr>
        <w:widowControl/>
        <w:ind w:firstLine="480"/>
        <w:jc w:val="left"/>
        <w:rPr>
          <w:rFonts w:ascii="仿宋_GB2312" w:hAnsi="仿宋" w:eastAsia="仿宋_GB2312"/>
          <w:sz w:val="32"/>
          <w:szCs w:val="32"/>
        </w:rPr>
      </w:pPr>
    </w:p>
    <w:p>
      <w:pPr>
        <w:spacing w:line="580" w:lineRule="exact"/>
        <w:outlineLvl w:val="1"/>
        <w:rPr>
          <w:rFonts w:ascii="黑体" w:hAnsi="黑体" w:eastAsia="黑体" w:cs="黑体"/>
          <w:b/>
          <w:kern w:val="0"/>
          <w:sz w:val="32"/>
          <w:szCs w:val="32"/>
        </w:rPr>
      </w:pPr>
      <w:r>
        <w:rPr>
          <w:rFonts w:hint="eastAsia" w:ascii="黑体" w:hAnsi="黑体" w:eastAsia="黑体" w:cs="黑体"/>
          <w:b/>
          <w:kern w:val="0"/>
          <w:sz w:val="32"/>
          <w:szCs w:val="32"/>
        </w:rPr>
        <w:t>第三部分</w:t>
      </w:r>
      <w:r>
        <w:rPr>
          <w:rFonts w:hint="eastAsia" w:ascii="宋体" w:hAnsi="宋体" w:cs="宋体"/>
          <w:b/>
          <w:kern w:val="0"/>
          <w:sz w:val="32"/>
          <w:szCs w:val="32"/>
        </w:rPr>
        <w:t> </w:t>
      </w:r>
      <w:r>
        <w:rPr>
          <w:rFonts w:hint="eastAsia" w:ascii="黑体" w:hAnsi="黑体" w:eastAsia="黑体" w:cs="黑体"/>
          <w:b/>
          <w:kern w:val="0"/>
          <w:sz w:val="32"/>
          <w:szCs w:val="32"/>
        </w:rPr>
        <w:t>2018年度部门预算公开表格</w:t>
      </w:r>
    </w:p>
    <w:p>
      <w:pPr>
        <w:spacing w:line="580" w:lineRule="exact"/>
        <w:rPr>
          <w:rFonts w:ascii="仿宋_GB2312" w:hAnsi="仿宋" w:eastAsia="仿宋_GB2312" w:cs="黑体"/>
          <w:sz w:val="32"/>
          <w:szCs w:val="32"/>
        </w:rPr>
      </w:pPr>
      <w:r>
        <w:rPr>
          <w:rFonts w:hint="eastAsia" w:ascii="仿宋_GB2312" w:hAnsi="仿宋" w:eastAsia="仿宋_GB2312" w:cs="黑体"/>
          <w:sz w:val="32"/>
          <w:szCs w:val="32"/>
        </w:rPr>
        <w:t xml:space="preserve">    一、收支预算总表</w:t>
      </w:r>
    </w:p>
    <w:p>
      <w:pPr>
        <w:spacing w:line="580" w:lineRule="exact"/>
        <w:rPr>
          <w:rFonts w:ascii="仿宋_GB2312" w:hAnsi="仿宋" w:eastAsia="仿宋_GB2312" w:cs="黑体"/>
          <w:sz w:val="32"/>
          <w:szCs w:val="32"/>
        </w:rPr>
      </w:pPr>
      <w:r>
        <w:rPr>
          <w:rFonts w:hint="eastAsia" w:ascii="仿宋_GB2312" w:hAnsi="仿宋" w:eastAsia="仿宋_GB2312" w:cs="黑体"/>
          <w:sz w:val="32"/>
          <w:szCs w:val="32"/>
        </w:rPr>
        <w:t xml:space="preserve">    二、收入预算总表</w:t>
      </w:r>
    </w:p>
    <w:p>
      <w:pPr>
        <w:spacing w:line="580" w:lineRule="exact"/>
        <w:rPr>
          <w:rFonts w:ascii="仿宋_GB2312" w:hAnsi="仿宋" w:eastAsia="仿宋_GB2312" w:cs="黑体"/>
          <w:sz w:val="32"/>
          <w:szCs w:val="32"/>
        </w:rPr>
      </w:pPr>
      <w:r>
        <w:rPr>
          <w:rFonts w:hint="eastAsia" w:ascii="仿宋_GB2312" w:hAnsi="仿宋" w:eastAsia="仿宋_GB2312" w:cs="黑体"/>
          <w:sz w:val="32"/>
          <w:szCs w:val="32"/>
        </w:rPr>
        <w:t xml:space="preserve">    三、支出预算总表</w:t>
      </w:r>
    </w:p>
    <w:p>
      <w:pPr>
        <w:spacing w:line="580" w:lineRule="exact"/>
        <w:rPr>
          <w:rFonts w:ascii="仿宋_GB2312" w:hAnsi="仿宋" w:eastAsia="仿宋_GB2312" w:cs="黑体"/>
          <w:sz w:val="32"/>
          <w:szCs w:val="32"/>
        </w:rPr>
      </w:pPr>
      <w:r>
        <w:rPr>
          <w:rFonts w:hint="eastAsia" w:ascii="仿宋_GB2312" w:hAnsi="仿宋" w:eastAsia="仿宋_GB2312" w:cs="黑体"/>
          <w:sz w:val="32"/>
          <w:szCs w:val="32"/>
        </w:rPr>
        <w:t xml:space="preserve">    四、财政拨款收支总表</w:t>
      </w:r>
    </w:p>
    <w:p>
      <w:pPr>
        <w:spacing w:line="580" w:lineRule="exact"/>
        <w:rPr>
          <w:rFonts w:ascii="仿宋_GB2312" w:hAnsi="仿宋" w:eastAsia="仿宋_GB2312" w:cs="黑体"/>
          <w:sz w:val="32"/>
          <w:szCs w:val="32"/>
        </w:rPr>
      </w:pPr>
      <w:r>
        <w:rPr>
          <w:rFonts w:hint="eastAsia" w:ascii="仿宋_GB2312" w:hAnsi="仿宋" w:eastAsia="仿宋_GB2312" w:cs="黑体"/>
          <w:sz w:val="32"/>
          <w:szCs w:val="32"/>
        </w:rPr>
        <w:t xml:space="preserve">    五、一般公共预算收入预算总表</w:t>
      </w:r>
    </w:p>
    <w:p>
      <w:pPr>
        <w:spacing w:line="580" w:lineRule="exact"/>
        <w:rPr>
          <w:rFonts w:ascii="仿宋_GB2312" w:hAnsi="仿宋" w:eastAsia="仿宋_GB2312" w:cs="黑体"/>
          <w:sz w:val="32"/>
          <w:szCs w:val="32"/>
        </w:rPr>
      </w:pPr>
      <w:r>
        <w:rPr>
          <w:rFonts w:hint="eastAsia" w:ascii="仿宋_GB2312" w:hAnsi="仿宋" w:eastAsia="仿宋_GB2312" w:cs="黑体"/>
          <w:sz w:val="32"/>
          <w:szCs w:val="32"/>
        </w:rPr>
        <w:t xml:space="preserve">    六、一般公共预算支出预算总表</w:t>
      </w:r>
    </w:p>
    <w:p>
      <w:pPr>
        <w:spacing w:line="580" w:lineRule="exact"/>
        <w:rPr>
          <w:rFonts w:ascii="仿宋_GB2312" w:hAnsi="仿宋" w:eastAsia="仿宋_GB2312" w:cs="黑体"/>
          <w:sz w:val="32"/>
          <w:szCs w:val="32"/>
        </w:rPr>
      </w:pPr>
      <w:r>
        <w:rPr>
          <w:rFonts w:hint="eastAsia" w:ascii="仿宋_GB2312" w:hAnsi="仿宋" w:eastAsia="仿宋_GB2312" w:cs="黑体"/>
          <w:sz w:val="32"/>
          <w:szCs w:val="32"/>
        </w:rPr>
        <w:t xml:space="preserve">    七、一般公共预算基本支出明细表</w:t>
      </w:r>
    </w:p>
    <w:p>
      <w:pPr>
        <w:spacing w:line="580" w:lineRule="exact"/>
        <w:rPr>
          <w:rFonts w:ascii="仿宋_GB2312" w:hAnsi="仿宋" w:eastAsia="仿宋_GB2312" w:cs="黑体"/>
          <w:sz w:val="32"/>
          <w:szCs w:val="32"/>
        </w:rPr>
      </w:pPr>
      <w:r>
        <w:rPr>
          <w:rFonts w:hint="eastAsia" w:ascii="仿宋_GB2312" w:hAnsi="仿宋" w:eastAsia="仿宋_GB2312" w:cs="黑体"/>
          <w:sz w:val="32"/>
          <w:szCs w:val="32"/>
        </w:rPr>
        <w:t xml:space="preserve">    八、一般公共预算财政拨款部门经济分类支出</w:t>
      </w:r>
    </w:p>
    <w:p>
      <w:pPr>
        <w:spacing w:line="580" w:lineRule="exact"/>
        <w:rPr>
          <w:rFonts w:ascii="仿宋_GB2312" w:hAnsi="仿宋" w:eastAsia="仿宋_GB2312" w:cs="黑体"/>
          <w:sz w:val="32"/>
          <w:szCs w:val="32"/>
        </w:rPr>
      </w:pPr>
      <w:r>
        <w:rPr>
          <w:rFonts w:hint="eastAsia" w:ascii="仿宋_GB2312" w:hAnsi="仿宋" w:eastAsia="仿宋_GB2312" w:cs="黑体"/>
          <w:sz w:val="32"/>
          <w:szCs w:val="32"/>
        </w:rPr>
        <w:t xml:space="preserve">    九、一般公共预算财政拨款政府经济分类支出表</w:t>
      </w:r>
    </w:p>
    <w:p>
      <w:pPr>
        <w:spacing w:line="580" w:lineRule="exact"/>
        <w:rPr>
          <w:rFonts w:ascii="仿宋_GB2312" w:hAnsi="仿宋" w:eastAsia="仿宋_GB2312" w:cs="黑体"/>
          <w:sz w:val="32"/>
          <w:szCs w:val="32"/>
        </w:rPr>
      </w:pPr>
      <w:r>
        <w:rPr>
          <w:rFonts w:hint="eastAsia" w:ascii="仿宋_GB2312" w:hAnsi="仿宋" w:eastAsia="仿宋_GB2312" w:cs="黑体"/>
          <w:sz w:val="32"/>
          <w:szCs w:val="32"/>
        </w:rPr>
        <w:t xml:space="preserve">    十、项目支出明细表</w:t>
      </w:r>
    </w:p>
    <w:p>
      <w:pPr>
        <w:spacing w:line="580" w:lineRule="exact"/>
        <w:rPr>
          <w:rFonts w:ascii="仿宋_GB2312" w:hAnsi="仿宋" w:eastAsia="仿宋_GB2312" w:cs="黑体"/>
          <w:sz w:val="32"/>
          <w:szCs w:val="32"/>
        </w:rPr>
      </w:pPr>
      <w:r>
        <w:rPr>
          <w:rFonts w:hint="eastAsia" w:ascii="仿宋_GB2312" w:hAnsi="仿宋" w:eastAsia="仿宋_GB2312" w:cs="黑体"/>
          <w:sz w:val="32"/>
          <w:szCs w:val="32"/>
        </w:rPr>
        <w:t xml:space="preserve">    十一、政府性基金预算总表</w:t>
      </w:r>
    </w:p>
    <w:p>
      <w:pPr>
        <w:spacing w:line="580" w:lineRule="exact"/>
        <w:rPr>
          <w:rFonts w:ascii="仿宋_GB2312" w:hAnsi="仿宋" w:eastAsia="仿宋_GB2312" w:cs="黑体"/>
          <w:sz w:val="32"/>
          <w:szCs w:val="32"/>
        </w:rPr>
      </w:pPr>
      <w:r>
        <w:rPr>
          <w:rFonts w:hint="eastAsia" w:ascii="仿宋_GB2312" w:hAnsi="仿宋" w:eastAsia="仿宋_GB2312" w:cs="黑体"/>
          <w:sz w:val="32"/>
          <w:szCs w:val="32"/>
        </w:rPr>
        <w:t xml:space="preserve">    十二、国有资本经营预算收支总表</w:t>
      </w:r>
    </w:p>
    <w:p>
      <w:pPr>
        <w:spacing w:line="580" w:lineRule="exact"/>
        <w:rPr>
          <w:rFonts w:ascii="仿宋_GB2312" w:hAnsi="仿宋" w:eastAsia="仿宋_GB2312" w:cs="黑体"/>
          <w:sz w:val="32"/>
          <w:szCs w:val="32"/>
        </w:rPr>
      </w:pPr>
      <w:r>
        <w:rPr>
          <w:rFonts w:hint="eastAsia" w:ascii="仿宋_GB2312" w:hAnsi="仿宋" w:eastAsia="仿宋_GB2312" w:cs="黑体"/>
          <w:sz w:val="32"/>
          <w:szCs w:val="32"/>
        </w:rPr>
        <w:t xml:space="preserve">    十三、三公经费预算表</w:t>
      </w:r>
    </w:p>
    <w:p>
      <w:pPr>
        <w:spacing w:line="580" w:lineRule="exact"/>
        <w:rPr>
          <w:rFonts w:ascii="仿宋_GB2312" w:hAnsi="仿宋" w:eastAsia="仿宋_GB2312" w:cs="黑体"/>
          <w:sz w:val="32"/>
          <w:szCs w:val="32"/>
        </w:rPr>
      </w:pPr>
      <w:r>
        <w:rPr>
          <w:rFonts w:hint="eastAsia" w:ascii="仿宋_GB2312" w:hAnsi="仿宋" w:eastAsia="仿宋_GB2312" w:cs="黑体"/>
          <w:sz w:val="32"/>
          <w:szCs w:val="32"/>
        </w:rPr>
        <w:t xml:space="preserve">    十四、政府采购支出表</w:t>
      </w:r>
    </w:p>
    <w:p>
      <w:pPr>
        <w:spacing w:line="580" w:lineRule="exact"/>
        <w:rPr>
          <w:rFonts w:ascii="仿宋_GB2312" w:hAnsi="仿宋" w:eastAsia="仿宋_GB2312" w:cs="黑体"/>
          <w:sz w:val="32"/>
          <w:szCs w:val="32"/>
        </w:rPr>
      </w:pPr>
      <w:r>
        <w:rPr>
          <w:rFonts w:hint="eastAsia" w:ascii="仿宋_GB2312" w:hAnsi="仿宋" w:eastAsia="仿宋_GB2312" w:cs="黑体"/>
          <w:sz w:val="32"/>
          <w:szCs w:val="32"/>
        </w:rPr>
        <w:t xml:space="preserve">    十五、政府购买服务支出表</w:t>
      </w:r>
    </w:p>
    <w:p>
      <w:pPr>
        <w:widowControl/>
        <w:ind w:firstLine="480"/>
        <w:jc w:val="left"/>
        <w:rPr>
          <w:rFonts w:ascii="仿宋_GB2312" w:hAnsi="仿宋" w:eastAsia="仿宋_GB2312"/>
          <w:sz w:val="32"/>
          <w:szCs w:val="32"/>
        </w:rPr>
      </w:pPr>
    </w:p>
    <w:p>
      <w:pPr>
        <w:spacing w:line="580" w:lineRule="exact"/>
        <w:outlineLvl w:val="1"/>
        <w:rPr>
          <w:rFonts w:ascii="黑体" w:hAnsi="黑体" w:eastAsia="黑体" w:cs="黑体"/>
          <w:b/>
          <w:kern w:val="0"/>
          <w:sz w:val="32"/>
          <w:szCs w:val="32"/>
        </w:rPr>
      </w:pPr>
      <w:r>
        <w:rPr>
          <w:rFonts w:hint="eastAsia" w:ascii="黑体" w:hAnsi="黑体" w:eastAsia="黑体" w:cs="黑体"/>
          <w:b/>
          <w:kern w:val="0"/>
          <w:sz w:val="32"/>
          <w:szCs w:val="32"/>
        </w:rPr>
        <w:t>第四部分  名词解释</w:t>
      </w:r>
    </w:p>
    <w:p>
      <w:pPr>
        <w:spacing w:after="156" w:afterLines="50" w:line="580" w:lineRule="exact"/>
        <w:outlineLvl w:val="1"/>
        <w:rPr>
          <w:rFonts w:hint="eastAsia" w:ascii="仿宋_GB2312" w:hAnsi="宋体" w:eastAsia="仿宋_GB2312" w:cs="黑体"/>
          <w:kern w:val="0"/>
          <w:sz w:val="32"/>
          <w:szCs w:val="32"/>
        </w:rPr>
      </w:pPr>
      <w:r>
        <w:rPr>
          <w:rFonts w:hint="eastAsia" w:cs="黑体"/>
        </w:rPr>
        <w:t>　　　</w:t>
      </w:r>
      <w:r>
        <w:rPr>
          <w:rFonts w:hint="eastAsia" w:ascii="仿宋_GB2312" w:hAnsi="仿宋" w:eastAsia="仿宋_GB2312" w:cs="黑体"/>
          <w:sz w:val="32"/>
          <w:szCs w:val="32"/>
        </w:rPr>
        <w:t>一、支出功能分类科目编码、名称：按照《2016年政府收支分类科目》“类”、“款”、“项”的编码和名称填列。</w:t>
      </w:r>
    </w:p>
    <w:p>
      <w:pPr>
        <w:spacing w:line="580" w:lineRule="exact"/>
        <w:rPr>
          <w:rFonts w:hint="eastAsia" w:ascii="仿宋_GB2312" w:hAnsi="仿宋" w:eastAsia="仿宋_GB2312" w:cs="黑体"/>
          <w:sz w:val="32"/>
          <w:szCs w:val="32"/>
        </w:rPr>
      </w:pPr>
      <w:r>
        <w:rPr>
          <w:rFonts w:hint="eastAsia" w:ascii="仿宋_GB2312" w:hAnsi="仿宋" w:eastAsia="仿宋_GB2312" w:cs="黑体"/>
          <w:sz w:val="32"/>
          <w:szCs w:val="32"/>
        </w:rPr>
        <w:t>　　二、年初结转和结余：是指单位上年结转本年使用的基本支出结转、项目支出结转和结余和经营结余。</w:t>
      </w:r>
      <w:r>
        <w:rPr>
          <w:rFonts w:hint="eastAsia" w:ascii="宋体" w:hAnsi="宋体" w:cs="宋体"/>
          <w:sz w:val="32"/>
          <w:szCs w:val="32"/>
        </w:rPr>
        <w:t>  </w:t>
      </w:r>
    </w:p>
    <w:p>
      <w:pPr>
        <w:spacing w:line="580" w:lineRule="exact"/>
        <w:rPr>
          <w:rFonts w:hint="eastAsia" w:ascii="仿宋_GB2312" w:hAnsi="仿宋" w:eastAsia="仿宋_GB2312" w:cs="黑体"/>
          <w:sz w:val="32"/>
          <w:szCs w:val="32"/>
        </w:rPr>
      </w:pPr>
      <w:r>
        <w:rPr>
          <w:rFonts w:hint="eastAsia" w:ascii="仿宋_GB2312" w:hAnsi="仿宋" w:eastAsia="仿宋_GB2312" w:cs="黑体"/>
          <w:sz w:val="32"/>
          <w:szCs w:val="32"/>
        </w:rPr>
        <w:t>　　三、基本支出结转：是指单位基本支出收支相抵后结转本年使用的累计余额，包括事业单位未转入事业基金的基本支出结转。</w:t>
      </w:r>
      <w:r>
        <w:rPr>
          <w:rFonts w:hint="eastAsia" w:ascii="宋体" w:hAnsi="宋体" w:cs="宋体"/>
          <w:sz w:val="32"/>
          <w:szCs w:val="32"/>
        </w:rPr>
        <w:t>  </w:t>
      </w:r>
    </w:p>
    <w:p>
      <w:pPr>
        <w:spacing w:line="580" w:lineRule="exact"/>
        <w:rPr>
          <w:rFonts w:hint="eastAsia" w:ascii="仿宋_GB2312" w:hAnsi="仿宋" w:eastAsia="仿宋_GB2312" w:cs="黑体"/>
          <w:sz w:val="32"/>
          <w:szCs w:val="32"/>
        </w:rPr>
      </w:pPr>
      <w:r>
        <w:rPr>
          <w:rFonts w:hint="eastAsia" w:ascii="仿宋_GB2312" w:hAnsi="仿宋" w:eastAsia="仿宋_GB2312" w:cs="黑体"/>
          <w:sz w:val="32"/>
          <w:szCs w:val="32"/>
        </w:rPr>
        <w:t>　　四、项目支出结转和结余：是指单位从财政部门或上级单位等取得，需要结转本年继续使用的项目支出收支累计余额。</w:t>
      </w:r>
      <w:r>
        <w:rPr>
          <w:rFonts w:hint="eastAsia" w:ascii="宋体" w:hAnsi="宋体" w:cs="宋体"/>
          <w:sz w:val="32"/>
          <w:szCs w:val="32"/>
        </w:rPr>
        <w:t>  </w:t>
      </w:r>
    </w:p>
    <w:p>
      <w:pPr>
        <w:spacing w:line="580" w:lineRule="exact"/>
        <w:rPr>
          <w:rFonts w:hint="eastAsia" w:ascii="仿宋_GB2312" w:hAnsi="仿宋" w:eastAsia="仿宋_GB2312" w:cs="黑体"/>
          <w:sz w:val="32"/>
          <w:szCs w:val="32"/>
        </w:rPr>
      </w:pPr>
      <w:r>
        <w:rPr>
          <w:rFonts w:hint="eastAsia" w:ascii="仿宋_GB2312" w:hAnsi="仿宋" w:eastAsia="仿宋_GB2312" w:cs="黑体"/>
          <w:sz w:val="32"/>
          <w:szCs w:val="32"/>
        </w:rPr>
        <w:t>　 五、基本建设资金结转和结余：是指单位基本建设类资金中非偿还性资金结转本年使用的累计余额。</w:t>
      </w:r>
      <w:r>
        <w:rPr>
          <w:rFonts w:hint="eastAsia" w:ascii="宋体" w:hAnsi="宋体" w:cs="宋体"/>
          <w:sz w:val="32"/>
          <w:szCs w:val="32"/>
        </w:rPr>
        <w:t>  </w:t>
      </w:r>
    </w:p>
    <w:p>
      <w:pPr>
        <w:spacing w:line="580" w:lineRule="exact"/>
        <w:rPr>
          <w:rFonts w:hint="eastAsia" w:ascii="仿宋_GB2312" w:hAnsi="仿宋" w:eastAsia="仿宋_GB2312" w:cs="黑体"/>
          <w:sz w:val="32"/>
          <w:szCs w:val="32"/>
        </w:rPr>
      </w:pPr>
      <w:r>
        <w:rPr>
          <w:rFonts w:hint="eastAsia" w:ascii="仿宋_GB2312" w:hAnsi="仿宋" w:eastAsia="仿宋_GB2312" w:cs="黑体"/>
          <w:sz w:val="32"/>
          <w:szCs w:val="32"/>
        </w:rPr>
        <w:t>　六、本年收入：是指单位本年度取得的全部收入。</w:t>
      </w:r>
      <w:r>
        <w:rPr>
          <w:rFonts w:hint="eastAsia" w:ascii="宋体" w:hAnsi="宋体" w:cs="宋体"/>
          <w:sz w:val="32"/>
          <w:szCs w:val="32"/>
        </w:rPr>
        <w:t>  </w:t>
      </w:r>
    </w:p>
    <w:p>
      <w:pPr>
        <w:spacing w:line="580" w:lineRule="exact"/>
        <w:rPr>
          <w:rFonts w:hint="eastAsia" w:ascii="仿宋_GB2312" w:hAnsi="仿宋" w:eastAsia="仿宋_GB2312" w:cs="黑体"/>
          <w:sz w:val="32"/>
          <w:szCs w:val="32"/>
        </w:rPr>
      </w:pPr>
      <w:r>
        <w:rPr>
          <w:rFonts w:hint="eastAsia" w:ascii="仿宋_GB2312" w:hAnsi="仿宋" w:eastAsia="仿宋_GB2312" w:cs="黑体"/>
          <w:sz w:val="32"/>
          <w:szCs w:val="32"/>
        </w:rPr>
        <w:t>　七、本年支出：是指单位本年度全部支出。</w:t>
      </w:r>
      <w:r>
        <w:rPr>
          <w:rFonts w:hint="eastAsia" w:ascii="宋体" w:hAnsi="宋体" w:cs="宋体"/>
          <w:sz w:val="32"/>
          <w:szCs w:val="32"/>
        </w:rPr>
        <w:t>  </w:t>
      </w:r>
    </w:p>
    <w:p>
      <w:pPr>
        <w:spacing w:line="580" w:lineRule="exact"/>
        <w:rPr>
          <w:rFonts w:hint="eastAsia" w:ascii="仿宋_GB2312" w:hAnsi="仿宋" w:eastAsia="仿宋_GB2312" w:cs="黑体"/>
          <w:sz w:val="32"/>
          <w:szCs w:val="32"/>
        </w:rPr>
      </w:pPr>
      <w:r>
        <w:rPr>
          <w:rFonts w:hint="eastAsia" w:ascii="仿宋_GB2312" w:hAnsi="仿宋" w:eastAsia="仿宋_GB2312" w:cs="黑体"/>
          <w:sz w:val="32"/>
          <w:szCs w:val="32"/>
        </w:rPr>
        <w:t>　八、结余分配：是指单位当年结余的分配情况。</w:t>
      </w:r>
      <w:r>
        <w:rPr>
          <w:rFonts w:hint="eastAsia" w:ascii="宋体" w:hAnsi="宋体" w:cs="宋体"/>
          <w:sz w:val="32"/>
          <w:szCs w:val="32"/>
        </w:rPr>
        <w:t>  </w:t>
      </w:r>
    </w:p>
    <w:p>
      <w:pPr>
        <w:spacing w:line="580" w:lineRule="exact"/>
        <w:rPr>
          <w:rFonts w:hint="eastAsia" w:ascii="仿宋_GB2312" w:hAnsi="仿宋" w:eastAsia="仿宋_GB2312" w:cs="黑体"/>
          <w:sz w:val="32"/>
          <w:szCs w:val="32"/>
        </w:rPr>
      </w:pPr>
      <w:r>
        <w:rPr>
          <w:rFonts w:hint="eastAsia" w:ascii="仿宋_GB2312" w:hAnsi="仿宋" w:eastAsia="仿宋_GB2312" w:cs="黑体"/>
          <w:sz w:val="32"/>
          <w:szCs w:val="32"/>
        </w:rPr>
        <w:t>　九、年末结转和结余：是指单位结转下年的基本支出结转、项目支出结转和结余和经营结余。</w:t>
      </w:r>
      <w:r>
        <w:rPr>
          <w:rFonts w:hint="eastAsia" w:ascii="宋体" w:hAnsi="宋体" w:cs="宋体"/>
          <w:sz w:val="32"/>
          <w:szCs w:val="32"/>
        </w:rPr>
        <w:t>  </w:t>
      </w:r>
    </w:p>
    <w:p>
      <w:pPr>
        <w:spacing w:line="580" w:lineRule="exact"/>
        <w:rPr>
          <w:rFonts w:hint="eastAsia" w:ascii="仿宋_GB2312" w:hAnsi="仿宋" w:eastAsia="仿宋_GB2312" w:cs="黑体"/>
          <w:sz w:val="32"/>
          <w:szCs w:val="32"/>
        </w:rPr>
      </w:pPr>
      <w:r>
        <w:rPr>
          <w:rFonts w:hint="eastAsia" w:ascii="仿宋_GB2312" w:hAnsi="仿宋" w:eastAsia="仿宋_GB2312" w:cs="黑体"/>
          <w:sz w:val="32"/>
          <w:szCs w:val="32"/>
        </w:rPr>
        <w:t>　十、财政拨款收入：是指单位本年度从本级财政部门取得的财政拨款，包括一般公共预算财政拨款和政府性基金预算财政拨款。</w:t>
      </w:r>
      <w:r>
        <w:rPr>
          <w:rFonts w:hint="eastAsia" w:ascii="宋体" w:hAnsi="宋体" w:cs="宋体"/>
          <w:sz w:val="32"/>
          <w:szCs w:val="32"/>
        </w:rPr>
        <w:t>  </w:t>
      </w:r>
    </w:p>
    <w:p>
      <w:pPr>
        <w:spacing w:line="580" w:lineRule="exact"/>
        <w:rPr>
          <w:rFonts w:hint="eastAsia" w:ascii="仿宋_GB2312" w:hAnsi="仿宋" w:eastAsia="仿宋_GB2312" w:cs="黑体"/>
          <w:sz w:val="32"/>
          <w:szCs w:val="32"/>
        </w:rPr>
      </w:pPr>
      <w:r>
        <w:rPr>
          <w:rFonts w:hint="eastAsia" w:ascii="仿宋_GB2312" w:hAnsi="仿宋" w:eastAsia="仿宋_GB2312" w:cs="黑体"/>
          <w:sz w:val="32"/>
          <w:szCs w:val="32"/>
        </w:rPr>
        <w:t>　十一、事业收入：是指事业单位开展专业业务活动及其辅助活动取得的收入。</w:t>
      </w:r>
      <w:r>
        <w:rPr>
          <w:rFonts w:hint="eastAsia" w:ascii="宋体" w:hAnsi="宋体" w:cs="宋体"/>
          <w:sz w:val="32"/>
          <w:szCs w:val="32"/>
        </w:rPr>
        <w:t>  </w:t>
      </w:r>
    </w:p>
    <w:p>
      <w:pPr>
        <w:spacing w:line="580" w:lineRule="exact"/>
        <w:rPr>
          <w:rFonts w:hint="eastAsia" w:ascii="仿宋_GB2312" w:hAnsi="仿宋" w:eastAsia="仿宋_GB2312" w:cs="黑体"/>
          <w:sz w:val="32"/>
          <w:szCs w:val="32"/>
        </w:rPr>
      </w:pPr>
      <w:r>
        <w:rPr>
          <w:rFonts w:hint="eastAsia" w:ascii="仿宋_GB2312" w:hAnsi="仿宋" w:eastAsia="仿宋_GB2312" w:cs="黑体"/>
          <w:sz w:val="32"/>
          <w:szCs w:val="32"/>
        </w:rPr>
        <w:t>　十二、经营收入：是指事业单位在专业业务活动及其辅助活动之外开展非独立核算经营活动取得的收入。</w:t>
      </w:r>
      <w:r>
        <w:rPr>
          <w:rFonts w:hint="eastAsia" w:ascii="宋体" w:hAnsi="宋体" w:cs="宋体"/>
          <w:sz w:val="32"/>
          <w:szCs w:val="32"/>
        </w:rPr>
        <w:t>  </w:t>
      </w:r>
    </w:p>
    <w:p>
      <w:pPr>
        <w:spacing w:line="580" w:lineRule="exact"/>
        <w:rPr>
          <w:rFonts w:hint="eastAsia" w:ascii="仿宋_GB2312" w:hAnsi="仿宋" w:eastAsia="仿宋_GB2312" w:cs="黑体"/>
          <w:sz w:val="32"/>
          <w:szCs w:val="32"/>
        </w:rPr>
      </w:pPr>
      <w:r>
        <w:rPr>
          <w:rFonts w:hint="eastAsia" w:ascii="仿宋_GB2312" w:hAnsi="仿宋" w:eastAsia="仿宋_GB2312" w:cs="黑体"/>
          <w:sz w:val="32"/>
          <w:szCs w:val="32"/>
        </w:rPr>
        <w:t>　十三、其他收入：是指单位取得的除“财政拨款收入”、“事业收入”、“经营收入”等以外的各项收入。</w:t>
      </w:r>
      <w:r>
        <w:rPr>
          <w:rFonts w:hint="eastAsia" w:ascii="宋体" w:hAnsi="宋体" w:cs="宋体"/>
          <w:sz w:val="32"/>
          <w:szCs w:val="32"/>
        </w:rPr>
        <w:t>  </w:t>
      </w:r>
    </w:p>
    <w:p>
      <w:pPr>
        <w:spacing w:line="580" w:lineRule="exact"/>
        <w:rPr>
          <w:rFonts w:hint="eastAsia" w:ascii="仿宋_GB2312" w:hAnsi="仿宋" w:eastAsia="仿宋_GB2312" w:cs="黑体"/>
          <w:sz w:val="32"/>
          <w:szCs w:val="32"/>
        </w:rPr>
      </w:pPr>
      <w:r>
        <w:rPr>
          <w:rFonts w:hint="eastAsia" w:ascii="仿宋_GB2312" w:hAnsi="仿宋" w:eastAsia="仿宋_GB2312" w:cs="黑体"/>
          <w:sz w:val="32"/>
          <w:szCs w:val="32"/>
        </w:rPr>
        <w:t>　十四、基本支出：是指单位为保障机构正常运转、完成日常工作任务而发生的各项支出。</w:t>
      </w:r>
      <w:r>
        <w:rPr>
          <w:rFonts w:hint="eastAsia" w:ascii="宋体" w:hAnsi="宋体" w:cs="宋体"/>
          <w:sz w:val="32"/>
          <w:szCs w:val="32"/>
        </w:rPr>
        <w:t>  </w:t>
      </w:r>
    </w:p>
    <w:p>
      <w:pPr>
        <w:spacing w:line="580" w:lineRule="exact"/>
        <w:rPr>
          <w:rFonts w:hint="eastAsia" w:ascii="仿宋_GB2312" w:hAnsi="仿宋" w:eastAsia="仿宋_GB2312" w:cs="黑体"/>
          <w:sz w:val="32"/>
          <w:szCs w:val="32"/>
        </w:rPr>
      </w:pPr>
      <w:r>
        <w:rPr>
          <w:rFonts w:hint="eastAsia" w:ascii="仿宋_GB2312" w:hAnsi="仿宋" w:eastAsia="仿宋_GB2312" w:cs="黑体"/>
          <w:sz w:val="32"/>
          <w:szCs w:val="32"/>
        </w:rPr>
        <w:t>　十五、项目支出：是指单位为完成特定的行政工作任务或事业发展目标，在基本支出之外发生的各项支出。</w:t>
      </w:r>
      <w:r>
        <w:rPr>
          <w:rFonts w:hint="eastAsia" w:ascii="宋体" w:hAnsi="宋体" w:cs="宋体"/>
          <w:sz w:val="32"/>
          <w:szCs w:val="32"/>
        </w:rPr>
        <w:t>  </w:t>
      </w:r>
    </w:p>
    <w:p>
      <w:pPr>
        <w:spacing w:line="580" w:lineRule="exact"/>
        <w:rPr>
          <w:rFonts w:hint="eastAsia" w:ascii="仿宋_GB2312" w:hAnsi="仿宋" w:eastAsia="仿宋_GB2312" w:cs="黑体"/>
          <w:sz w:val="32"/>
          <w:szCs w:val="32"/>
        </w:rPr>
      </w:pPr>
      <w:r>
        <w:rPr>
          <w:rFonts w:hint="eastAsia" w:ascii="仿宋_GB2312" w:hAnsi="仿宋" w:eastAsia="仿宋_GB2312" w:cs="黑体"/>
          <w:sz w:val="32"/>
          <w:szCs w:val="32"/>
        </w:rPr>
        <w:t>　十六、经营支出：是指事业单位在专业活动及辅助活动之外开展非独立核算经营活动发生的支出。</w:t>
      </w:r>
      <w:r>
        <w:rPr>
          <w:rFonts w:hint="eastAsia" w:ascii="宋体" w:hAnsi="宋体" w:cs="宋体"/>
          <w:sz w:val="32"/>
          <w:szCs w:val="32"/>
        </w:rPr>
        <w:t>  </w:t>
      </w:r>
    </w:p>
    <w:p>
      <w:pPr>
        <w:spacing w:line="580" w:lineRule="exact"/>
        <w:rPr>
          <w:rFonts w:hint="eastAsia" w:ascii="仿宋_GB2312" w:hAnsi="仿宋" w:eastAsia="仿宋_GB2312" w:cs="黑体"/>
          <w:sz w:val="32"/>
          <w:szCs w:val="32"/>
        </w:rPr>
      </w:pPr>
      <w:r>
        <w:rPr>
          <w:rFonts w:hint="eastAsia" w:ascii="仿宋_GB2312" w:hAnsi="仿宋" w:eastAsia="仿宋_GB2312" w:cs="黑体"/>
          <w:sz w:val="32"/>
          <w:szCs w:val="32"/>
        </w:rPr>
        <w:t>　十七、人员经费：是指单位基本支出中用一般公共预算财政拨款安排的“工资福利支出”和“对个人和家庭的补助”。</w:t>
      </w:r>
      <w:r>
        <w:rPr>
          <w:rFonts w:hint="eastAsia" w:ascii="宋体" w:hAnsi="宋体" w:cs="宋体"/>
          <w:sz w:val="32"/>
          <w:szCs w:val="32"/>
        </w:rPr>
        <w:t>  </w:t>
      </w:r>
    </w:p>
    <w:p>
      <w:pPr>
        <w:widowControl/>
        <w:spacing w:before="100" w:beforeAutospacing="1" w:after="100" w:afterAutospacing="1"/>
        <w:jc w:val="left"/>
        <w:rPr>
          <w:rFonts w:hint="eastAsia" w:ascii="宋体" w:hAnsi="宋体" w:cs="宋体"/>
          <w:kern w:val="0"/>
          <w:sz w:val="24"/>
          <w:szCs w:val="24"/>
        </w:rPr>
      </w:pPr>
    </w:p>
    <w:p>
      <w:pPr>
        <w:rPr>
          <w:rFonts w:hint="eastAsia" w:cs="黑体"/>
        </w:rPr>
      </w:pPr>
    </w:p>
    <w:p>
      <w:pPr>
        <w:widowControl/>
        <w:ind w:firstLine="313" w:firstLineChars="98"/>
        <w:jc w:val="left"/>
        <w:outlineLvl w:val="1"/>
        <w:rPr>
          <w:rFonts w:ascii="仿宋_GB2312" w:hAnsi="仿宋" w:eastAsia="仿宋_GB2312"/>
          <w:sz w:val="32"/>
          <w:szCs w:val="3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9</w:t>
    </w:r>
    <w:r>
      <w:rPr>
        <w:rStyle w:val="7"/>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EB0"/>
    <w:rsid w:val="000268FB"/>
    <w:rsid w:val="000416CF"/>
    <w:rsid w:val="0007241A"/>
    <w:rsid w:val="00097397"/>
    <w:rsid w:val="000A4D11"/>
    <w:rsid w:val="000D3E8F"/>
    <w:rsid w:val="00143226"/>
    <w:rsid w:val="0018067C"/>
    <w:rsid w:val="00196AE9"/>
    <w:rsid w:val="001A251C"/>
    <w:rsid w:val="001C4ED7"/>
    <w:rsid w:val="001C79E4"/>
    <w:rsid w:val="001E0B39"/>
    <w:rsid w:val="00227236"/>
    <w:rsid w:val="00233424"/>
    <w:rsid w:val="002841DD"/>
    <w:rsid w:val="002E2D5C"/>
    <w:rsid w:val="002E5A8A"/>
    <w:rsid w:val="002F4032"/>
    <w:rsid w:val="00342491"/>
    <w:rsid w:val="0035582F"/>
    <w:rsid w:val="003635C0"/>
    <w:rsid w:val="004064E5"/>
    <w:rsid w:val="00415B48"/>
    <w:rsid w:val="00430070"/>
    <w:rsid w:val="004753A1"/>
    <w:rsid w:val="0049682B"/>
    <w:rsid w:val="004A1095"/>
    <w:rsid w:val="004B3DDD"/>
    <w:rsid w:val="004C5250"/>
    <w:rsid w:val="00516BCE"/>
    <w:rsid w:val="00533286"/>
    <w:rsid w:val="00582515"/>
    <w:rsid w:val="00583961"/>
    <w:rsid w:val="005D69C9"/>
    <w:rsid w:val="005D71A5"/>
    <w:rsid w:val="00603F2F"/>
    <w:rsid w:val="00605F94"/>
    <w:rsid w:val="00614543"/>
    <w:rsid w:val="00651EA5"/>
    <w:rsid w:val="00687453"/>
    <w:rsid w:val="006A369F"/>
    <w:rsid w:val="006A6E58"/>
    <w:rsid w:val="006B7717"/>
    <w:rsid w:val="006F2AC1"/>
    <w:rsid w:val="00724B23"/>
    <w:rsid w:val="00737C7A"/>
    <w:rsid w:val="00744836"/>
    <w:rsid w:val="007864A0"/>
    <w:rsid w:val="007D15A9"/>
    <w:rsid w:val="00822062"/>
    <w:rsid w:val="008747D7"/>
    <w:rsid w:val="008822B9"/>
    <w:rsid w:val="008B58B6"/>
    <w:rsid w:val="008C3F15"/>
    <w:rsid w:val="008F0D9D"/>
    <w:rsid w:val="00935C54"/>
    <w:rsid w:val="009744D4"/>
    <w:rsid w:val="009A1FA0"/>
    <w:rsid w:val="009B71BC"/>
    <w:rsid w:val="009C171B"/>
    <w:rsid w:val="00A750F2"/>
    <w:rsid w:val="00A76F10"/>
    <w:rsid w:val="00A80237"/>
    <w:rsid w:val="00AE748A"/>
    <w:rsid w:val="00AF4ED1"/>
    <w:rsid w:val="00B2431A"/>
    <w:rsid w:val="00B85253"/>
    <w:rsid w:val="00B966D2"/>
    <w:rsid w:val="00BB13FD"/>
    <w:rsid w:val="00BD056B"/>
    <w:rsid w:val="00BD71E3"/>
    <w:rsid w:val="00C33C9A"/>
    <w:rsid w:val="00C42CAA"/>
    <w:rsid w:val="00CC1BC4"/>
    <w:rsid w:val="00D16FD6"/>
    <w:rsid w:val="00D9485E"/>
    <w:rsid w:val="00DE5073"/>
    <w:rsid w:val="00E06F12"/>
    <w:rsid w:val="00E25E27"/>
    <w:rsid w:val="00E501B2"/>
    <w:rsid w:val="00E74EB0"/>
    <w:rsid w:val="00E832C4"/>
    <w:rsid w:val="00EA5E9D"/>
    <w:rsid w:val="00EA6C78"/>
    <w:rsid w:val="00EB7F50"/>
    <w:rsid w:val="00F0244C"/>
    <w:rsid w:val="00F0369C"/>
    <w:rsid w:val="00F037D0"/>
    <w:rsid w:val="00F54D20"/>
    <w:rsid w:val="00FA61FB"/>
    <w:rsid w:val="00FC4C4C"/>
    <w:rsid w:val="00FD4DF1"/>
    <w:rsid w:val="00FD4F60"/>
    <w:rsid w:val="0FA8301D"/>
    <w:rsid w:val="4F0914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1"/>
    <w:semiHidden/>
    <w:uiPriority w:val="99"/>
    <w:pPr>
      <w:tabs>
        <w:tab w:val="center" w:pos="4153"/>
        <w:tab w:val="right" w:pos="8306"/>
      </w:tabs>
      <w:snapToGrid w:val="0"/>
      <w:jc w:val="left"/>
    </w:pPr>
    <w:rPr>
      <w:sz w:val="18"/>
      <w:szCs w:val="18"/>
    </w:rPr>
  </w:style>
  <w:style w:type="paragraph" w:styleId="3">
    <w:name w:val="header"/>
    <w:basedOn w:val="1"/>
    <w:link w:val="10"/>
    <w:semiHidden/>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uiPriority w:val="99"/>
    <w:rPr>
      <w:rFonts w:cs="Times New Roman"/>
      <w:b/>
      <w:bCs/>
    </w:rPr>
  </w:style>
  <w:style w:type="character" w:styleId="7">
    <w:name w:val="page number"/>
    <w:basedOn w:val="5"/>
    <w:qFormat/>
    <w:uiPriority w:val="99"/>
    <w:rPr>
      <w:rFonts w:cs="Times New Roman"/>
    </w:rPr>
  </w:style>
  <w:style w:type="character" w:styleId="8">
    <w:name w:val="Hyperlink"/>
    <w:basedOn w:val="5"/>
    <w:semiHidden/>
    <w:qFormat/>
    <w:uiPriority w:val="99"/>
    <w:rPr>
      <w:rFonts w:cs="Times New Roman"/>
      <w:color w:val="0000FF"/>
      <w:u w:val="single"/>
    </w:rPr>
  </w:style>
  <w:style w:type="character" w:customStyle="1" w:styleId="10">
    <w:name w:val="页眉 Char"/>
    <w:basedOn w:val="5"/>
    <w:link w:val="3"/>
    <w:semiHidden/>
    <w:qFormat/>
    <w:locked/>
    <w:uiPriority w:val="99"/>
    <w:rPr>
      <w:rFonts w:cs="Times New Roman"/>
      <w:sz w:val="18"/>
      <w:szCs w:val="18"/>
    </w:rPr>
  </w:style>
  <w:style w:type="character" w:customStyle="1" w:styleId="11">
    <w:name w:val="页脚 Char"/>
    <w:basedOn w:val="5"/>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10</Pages>
  <Words>607</Words>
  <Characters>3465</Characters>
  <Lines>28</Lines>
  <Paragraphs>8</Paragraphs>
  <TotalTime>2</TotalTime>
  <ScaleCrop>false</ScaleCrop>
  <LinksUpToDate>false</LinksUpToDate>
  <CharactersWithSpaces>4064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2018-02-09T03:11:00Z</dcterms:created>
  <dc:creator>China</dc:creator>
  <cp:lastModifiedBy>Administrator</cp:lastModifiedBy>
  <dcterms:modified xsi:type="dcterms:W3CDTF">2018-08-19T01:26:47Z</dcterms:modified>
  <dc:title>中宁县科学技术局2018年部门预算公开</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